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0" w:type="dxa"/>
        <w:tblLayout w:type="fixed"/>
        <w:tblCellMar>
          <w:left w:w="70" w:type="dxa"/>
          <w:right w:w="70" w:type="dxa"/>
        </w:tblCellMar>
        <w:tblLook w:val="0000" w:firstRow="0" w:lastRow="0" w:firstColumn="0" w:lastColumn="0" w:noHBand="0" w:noVBand="0"/>
      </w:tblPr>
      <w:tblGrid>
        <w:gridCol w:w="4660"/>
        <w:gridCol w:w="2520"/>
        <w:gridCol w:w="2610"/>
      </w:tblGrid>
      <w:tr w:rsidR="00BF3D69" w:rsidRPr="00577CA4" w:rsidTr="00047098">
        <w:tc>
          <w:tcPr>
            <w:tcW w:w="4660" w:type="dxa"/>
          </w:tcPr>
          <w:p w:rsidR="00BF3D69" w:rsidRPr="00577CA4" w:rsidRDefault="00902289">
            <w:pPr>
              <w:pStyle w:val="Topptekst"/>
              <w:tabs>
                <w:tab w:val="clear" w:pos="9072"/>
                <w:tab w:val="left" w:pos="426"/>
                <w:tab w:val="left" w:pos="4536"/>
              </w:tabs>
              <w:rPr>
                <w:szCs w:val="24"/>
              </w:rPr>
            </w:pPr>
            <w:bookmarkStart w:id="0" w:name="_GoBack"/>
            <w:bookmarkEnd w:id="0"/>
            <w:r>
              <w:rPr>
                <w:noProof/>
              </w:rPr>
              <w:drawing>
                <wp:inline distT="0" distB="0" distL="0" distR="0" wp14:anchorId="7698C434" wp14:editId="5DABEC82">
                  <wp:extent cx="1438275" cy="308172"/>
                  <wp:effectExtent l="19050" t="0" r="9525" b="0"/>
                  <wp:docPr id="2" name="Bilde 0" descr="1_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FF_logo_CMYK.jpg"/>
                          <pic:cNvPicPr/>
                        </pic:nvPicPr>
                        <pic:blipFill>
                          <a:blip r:embed="rId9" cstate="print"/>
                          <a:stretch>
                            <a:fillRect/>
                          </a:stretch>
                        </pic:blipFill>
                        <pic:spPr>
                          <a:xfrm>
                            <a:off x="0" y="0"/>
                            <a:ext cx="1438275" cy="308172"/>
                          </a:xfrm>
                          <a:prstGeom prst="rect">
                            <a:avLst/>
                          </a:prstGeom>
                        </pic:spPr>
                      </pic:pic>
                    </a:graphicData>
                  </a:graphic>
                </wp:inline>
              </w:drawing>
            </w:r>
          </w:p>
        </w:tc>
        <w:tc>
          <w:tcPr>
            <w:tcW w:w="2520" w:type="dxa"/>
          </w:tcPr>
          <w:p w:rsidR="00BF3D69" w:rsidRPr="00577CA4" w:rsidRDefault="00BF3D69" w:rsidP="00BF3D69">
            <w:pPr>
              <w:tabs>
                <w:tab w:val="left" w:pos="426"/>
                <w:tab w:val="left" w:pos="4536"/>
              </w:tabs>
              <w:rPr>
                <w:b/>
                <w:szCs w:val="24"/>
              </w:rPr>
            </w:pPr>
          </w:p>
        </w:tc>
        <w:tc>
          <w:tcPr>
            <w:tcW w:w="2610" w:type="dxa"/>
          </w:tcPr>
          <w:p w:rsidR="00BF3D69" w:rsidRPr="00577CA4" w:rsidRDefault="00BF3D69">
            <w:pPr>
              <w:pStyle w:val="WSOrgniv14F"/>
              <w:rPr>
                <w:sz w:val="24"/>
                <w:szCs w:val="24"/>
              </w:rPr>
            </w:pPr>
          </w:p>
        </w:tc>
      </w:tr>
      <w:tr w:rsidR="00FC630E" w:rsidRPr="00577CA4" w:rsidTr="00047098">
        <w:tc>
          <w:tcPr>
            <w:tcW w:w="4660" w:type="dxa"/>
          </w:tcPr>
          <w:p w:rsidR="00FC630E" w:rsidRPr="00577CA4" w:rsidRDefault="00FC630E" w:rsidP="00685D1D">
            <w:pPr>
              <w:pStyle w:val="Topptekst"/>
              <w:tabs>
                <w:tab w:val="clear" w:pos="9072"/>
                <w:tab w:val="left" w:pos="426"/>
                <w:tab w:val="left" w:pos="4536"/>
              </w:tabs>
              <w:rPr>
                <w:szCs w:val="24"/>
              </w:rPr>
            </w:pPr>
          </w:p>
        </w:tc>
        <w:tc>
          <w:tcPr>
            <w:tcW w:w="2520" w:type="dxa"/>
          </w:tcPr>
          <w:p w:rsidR="00FC630E" w:rsidRPr="00577CA4" w:rsidRDefault="00FC630E" w:rsidP="00685D1D">
            <w:pPr>
              <w:tabs>
                <w:tab w:val="left" w:pos="426"/>
                <w:tab w:val="left" w:pos="4536"/>
              </w:tabs>
              <w:rPr>
                <w:sz w:val="40"/>
              </w:rPr>
            </w:pPr>
            <w:r w:rsidRPr="00577CA4">
              <w:rPr>
                <w:b/>
                <w:sz w:val="32"/>
                <w:szCs w:val="32"/>
              </w:rPr>
              <w:t>Saksframlegg</w:t>
            </w:r>
          </w:p>
        </w:tc>
        <w:tc>
          <w:tcPr>
            <w:tcW w:w="2610" w:type="dxa"/>
          </w:tcPr>
          <w:p w:rsidR="00FC630E" w:rsidRPr="00577CA4" w:rsidRDefault="00FC630E" w:rsidP="00685D1D">
            <w:pPr>
              <w:pStyle w:val="WSOrgniv14F"/>
            </w:pPr>
          </w:p>
        </w:tc>
      </w:tr>
      <w:tr w:rsidR="00892B85" w:rsidRPr="00577CA4" w:rsidTr="00047098">
        <w:tc>
          <w:tcPr>
            <w:tcW w:w="4660" w:type="dxa"/>
          </w:tcPr>
          <w:p w:rsidR="00892B85" w:rsidRPr="00577CA4" w:rsidRDefault="00892B85" w:rsidP="00F600D1">
            <w:pPr>
              <w:pStyle w:val="Topptekst"/>
              <w:tabs>
                <w:tab w:val="clear" w:pos="9072"/>
                <w:tab w:val="left" w:pos="426"/>
                <w:tab w:val="left" w:pos="4536"/>
              </w:tabs>
              <w:rPr>
                <w:szCs w:val="24"/>
              </w:rPr>
            </w:pPr>
            <w:r w:rsidRPr="00577CA4">
              <w:rPr>
                <w:szCs w:val="24"/>
              </w:rPr>
              <w:t>Vår saksbehandler</w:t>
            </w:r>
          </w:p>
          <w:p w:rsidR="00892B85" w:rsidRPr="00577CA4" w:rsidRDefault="0062666B" w:rsidP="00F600D1">
            <w:pPr>
              <w:pStyle w:val="Topptekst"/>
              <w:tabs>
                <w:tab w:val="clear" w:pos="9072"/>
                <w:tab w:val="left" w:pos="426"/>
                <w:tab w:val="left" w:pos="4536"/>
              </w:tabs>
              <w:rPr>
                <w:szCs w:val="24"/>
              </w:rPr>
            </w:pPr>
            <w:sdt>
              <w:sdtPr>
                <w:rPr>
                  <w:szCs w:val="24"/>
                </w:rPr>
                <w:alias w:val="Sbr_Navn"/>
                <w:tag w:val="Sbr_Navn"/>
                <w:id w:val="25696855"/>
                <w:dataBinding w:xpath="/document/body/Sbr_Navn" w:storeItemID="{84EE07F3-D7B9-4C41-BFE9-B76185C4F70D}"/>
                <w:text/>
              </w:sdtPr>
              <w:sdtEndPr/>
              <w:sdtContent>
                <w:bookmarkStart w:id="1" w:name="Sbr_Navn"/>
                <w:r w:rsidR="00892B85" w:rsidRPr="00577CA4">
                  <w:rPr>
                    <w:szCs w:val="24"/>
                  </w:rPr>
                  <w:t>Frank Schistad</w:t>
                </w:r>
              </w:sdtContent>
            </w:sdt>
            <w:bookmarkEnd w:id="1"/>
            <w:r w:rsidR="00892B85" w:rsidRPr="00577CA4">
              <w:rPr>
                <w:szCs w:val="24"/>
              </w:rPr>
              <w:t xml:space="preserve">, tlf. </w:t>
            </w:r>
            <w:sdt>
              <w:sdtPr>
                <w:rPr>
                  <w:szCs w:val="24"/>
                </w:rPr>
                <w:alias w:val="Sbr_Tlf"/>
                <w:tag w:val="Sbr_Tlf"/>
                <w:id w:val="25696860"/>
                <w:dataBinding w:xpath="/document/body/Sbr_Tlf" w:storeItemID="{84EE07F3-D7B9-4C41-BFE9-B76185C4F70D}"/>
                <w:text/>
              </w:sdtPr>
              <w:sdtEndPr/>
              <w:sdtContent>
                <w:bookmarkStart w:id="2" w:name="Sbr_Tlf"/>
                <w:r w:rsidR="00892B85" w:rsidRPr="00577CA4">
                  <w:rPr>
                    <w:szCs w:val="24"/>
                  </w:rPr>
                  <w:t>958 62 038</w:t>
                </w:r>
              </w:sdtContent>
            </w:sdt>
            <w:bookmarkEnd w:id="2"/>
          </w:p>
        </w:tc>
        <w:tc>
          <w:tcPr>
            <w:tcW w:w="2520" w:type="dxa"/>
          </w:tcPr>
          <w:p w:rsidR="00892B85" w:rsidRPr="00577CA4" w:rsidRDefault="00892B85" w:rsidP="00685D1D">
            <w:pPr>
              <w:tabs>
                <w:tab w:val="left" w:pos="426"/>
                <w:tab w:val="left" w:pos="4536"/>
              </w:tabs>
              <w:rPr>
                <w:szCs w:val="24"/>
              </w:rPr>
            </w:pPr>
            <w:r w:rsidRPr="00577CA4">
              <w:rPr>
                <w:szCs w:val="24"/>
              </w:rPr>
              <w:t>Vår dato</w:t>
            </w:r>
          </w:p>
          <w:p w:rsidR="00892B85" w:rsidRPr="00577CA4" w:rsidRDefault="0062666B" w:rsidP="00685D1D">
            <w:pPr>
              <w:tabs>
                <w:tab w:val="left" w:pos="426"/>
                <w:tab w:val="left" w:pos="4536"/>
              </w:tabs>
              <w:rPr>
                <w:szCs w:val="24"/>
              </w:rPr>
            </w:pPr>
            <w:sdt>
              <w:sdtPr>
                <w:rPr>
                  <w:szCs w:val="24"/>
                </w:rPr>
                <w:alias w:val="Sdo_DokDato"/>
                <w:tag w:val="Sdo_DokDato"/>
                <w:id w:val="25696885"/>
                <w:dataBinding w:xpath="/document/body/Sdo_DokDato" w:storeItemID="{84EE07F3-D7B9-4C41-BFE9-B76185C4F70D}"/>
                <w:text/>
              </w:sdtPr>
              <w:sdtEndPr/>
              <w:sdtContent>
                <w:bookmarkStart w:id="3" w:name="Sdo_DokDato"/>
                <w:r w:rsidR="00892B85" w:rsidRPr="00577CA4">
                  <w:rPr>
                    <w:szCs w:val="24"/>
                  </w:rPr>
                  <w:t>16.02.2017</w:t>
                </w:r>
              </w:sdtContent>
            </w:sdt>
            <w:bookmarkEnd w:id="3"/>
          </w:p>
        </w:tc>
        <w:tc>
          <w:tcPr>
            <w:tcW w:w="2610" w:type="dxa"/>
          </w:tcPr>
          <w:p w:rsidR="00892B85" w:rsidRPr="00577CA4" w:rsidRDefault="00892B85" w:rsidP="00685D1D">
            <w:pPr>
              <w:pStyle w:val="WSOrgniv14F"/>
              <w:jc w:val="left"/>
              <w:rPr>
                <w:sz w:val="24"/>
                <w:szCs w:val="24"/>
              </w:rPr>
            </w:pPr>
            <w:r w:rsidRPr="00577CA4">
              <w:rPr>
                <w:sz w:val="24"/>
                <w:szCs w:val="24"/>
              </w:rPr>
              <w:t>Vår referanse</w:t>
            </w:r>
          </w:p>
          <w:p w:rsidR="00892B85" w:rsidRPr="00577CA4" w:rsidRDefault="0062666B" w:rsidP="00685D1D">
            <w:pPr>
              <w:tabs>
                <w:tab w:val="left" w:pos="5387"/>
              </w:tabs>
              <w:rPr>
                <w:szCs w:val="24"/>
              </w:rPr>
            </w:pPr>
            <w:sdt>
              <w:sdtPr>
                <w:rPr>
                  <w:szCs w:val="24"/>
                </w:rPr>
                <w:alias w:val="Sas_ArkivsakID"/>
                <w:tag w:val="Sas_ArkivsakID"/>
                <w:id w:val="25696746"/>
                <w:dataBinding w:xpath="/document/body/Sas_ArkivsakID" w:storeItemID="{84EE07F3-D7B9-4C41-BFE9-B76185C4F70D}"/>
                <w:text/>
              </w:sdtPr>
              <w:sdtEndPr/>
              <w:sdtContent>
                <w:bookmarkStart w:id="4" w:name="Sas_ArkivsakID"/>
                <w:r w:rsidR="00892B85" w:rsidRPr="00577CA4">
                  <w:rPr>
                    <w:szCs w:val="24"/>
                  </w:rPr>
                  <w:t>16/2838</w:t>
                </w:r>
              </w:sdtContent>
            </w:sdt>
            <w:bookmarkEnd w:id="4"/>
            <w:r w:rsidR="00892B85" w:rsidRPr="00577CA4">
              <w:rPr>
                <w:szCs w:val="24"/>
              </w:rPr>
              <w:t xml:space="preserve"> - </w:t>
            </w:r>
            <w:sdt>
              <w:sdtPr>
                <w:rPr>
                  <w:szCs w:val="24"/>
                </w:rPr>
                <w:alias w:val="Sdo_DokNr"/>
                <w:tag w:val="Sdo_DokNr"/>
                <w:id w:val="25696752"/>
                <w:dataBinding w:xpath="/document/body/Sdo_DokNr" w:storeItemID="{84EE07F3-D7B9-4C41-BFE9-B76185C4F70D}"/>
                <w:text/>
              </w:sdtPr>
              <w:sdtEndPr/>
              <w:sdtContent>
                <w:bookmarkStart w:id="5" w:name="Sdo_DokNr"/>
                <w:r w:rsidR="00892B85" w:rsidRPr="00577CA4">
                  <w:rPr>
                    <w:szCs w:val="24"/>
                  </w:rPr>
                  <w:t>20</w:t>
                </w:r>
              </w:sdtContent>
            </w:sdt>
            <w:bookmarkEnd w:id="5"/>
            <w:r w:rsidR="00892B85" w:rsidRPr="00577CA4">
              <w:rPr>
                <w:szCs w:val="24"/>
              </w:rPr>
              <w:t xml:space="preserve">  / </w:t>
            </w:r>
            <w:sdt>
              <w:sdtPr>
                <w:rPr>
                  <w:szCs w:val="24"/>
                </w:rPr>
                <w:alias w:val="Sas_ArkivID"/>
                <w:tag w:val="Sas_ArkivID"/>
                <w:id w:val="25696761"/>
                <w:dataBinding w:xpath="/document/body/Sas_ArkivID" w:storeItemID="{84EE07F3-D7B9-4C41-BFE9-B76185C4F70D}"/>
                <w:text/>
              </w:sdtPr>
              <w:sdtEndPr/>
              <w:sdtContent>
                <w:bookmarkStart w:id="6" w:name="Sas_ArkivID"/>
                <w:r w:rsidR="00F619B8">
                  <w:rPr>
                    <w:szCs w:val="24"/>
                  </w:rPr>
                  <w:t>FF - 371</w:t>
                </w:r>
              </w:sdtContent>
            </w:sdt>
            <w:bookmarkEnd w:id="6"/>
          </w:p>
        </w:tc>
      </w:tr>
      <w:tr w:rsidR="00892B85" w:rsidRPr="00577CA4" w:rsidTr="00892B85">
        <w:trPr>
          <w:trHeight w:val="80"/>
        </w:trPr>
        <w:tc>
          <w:tcPr>
            <w:tcW w:w="4660" w:type="dxa"/>
            <w:tcBorders>
              <w:bottom w:val="single" w:sz="4" w:space="0" w:color="auto"/>
            </w:tcBorders>
          </w:tcPr>
          <w:p w:rsidR="00892B85" w:rsidRPr="00577CA4" w:rsidRDefault="00212F4B" w:rsidP="00685D1D">
            <w:pPr>
              <w:pStyle w:val="Topptekst"/>
              <w:tabs>
                <w:tab w:val="clear" w:pos="9072"/>
                <w:tab w:val="left" w:pos="426"/>
                <w:tab w:val="left" w:pos="4536"/>
              </w:tabs>
              <w:rPr>
                <w:szCs w:val="24"/>
              </w:rPr>
            </w:pPr>
            <w:r>
              <w:rPr>
                <w:szCs w:val="24"/>
              </w:rPr>
              <w:t>Line Eldring, tlf. 976 07 512</w:t>
            </w:r>
          </w:p>
        </w:tc>
        <w:tc>
          <w:tcPr>
            <w:tcW w:w="2520" w:type="dxa"/>
            <w:tcBorders>
              <w:bottom w:val="single" w:sz="4" w:space="0" w:color="auto"/>
            </w:tcBorders>
          </w:tcPr>
          <w:p w:rsidR="00892B85" w:rsidRPr="00577CA4" w:rsidRDefault="00892B85" w:rsidP="00685D1D">
            <w:pPr>
              <w:tabs>
                <w:tab w:val="left" w:pos="5387"/>
              </w:tabs>
              <w:rPr>
                <w:szCs w:val="24"/>
              </w:rPr>
            </w:pPr>
          </w:p>
        </w:tc>
        <w:tc>
          <w:tcPr>
            <w:tcW w:w="2610" w:type="dxa"/>
            <w:tcBorders>
              <w:bottom w:val="single" w:sz="4" w:space="0" w:color="auto"/>
            </w:tcBorders>
          </w:tcPr>
          <w:p w:rsidR="00892B85" w:rsidRPr="00577CA4" w:rsidRDefault="00892B85" w:rsidP="00685D1D">
            <w:pPr>
              <w:tabs>
                <w:tab w:val="left" w:pos="5387"/>
              </w:tabs>
              <w:rPr>
                <w:szCs w:val="24"/>
              </w:rPr>
            </w:pPr>
          </w:p>
        </w:tc>
      </w:tr>
    </w:tbl>
    <w:p w:rsidR="00497482" w:rsidRPr="00577CA4" w:rsidRDefault="00497482" w:rsidP="00497482">
      <w:pPr>
        <w:tabs>
          <w:tab w:val="left" w:pos="426"/>
          <w:tab w:val="left" w:pos="4536"/>
        </w:tabs>
        <w:rPr>
          <w:szCs w:val="22"/>
        </w:rPr>
      </w:pPr>
    </w:p>
    <w:p w:rsidR="00EE32B5" w:rsidRPr="00577CA4" w:rsidRDefault="00EE32B5">
      <w:pPr>
        <w:tabs>
          <w:tab w:val="left" w:pos="2835"/>
          <w:tab w:val="left" w:pos="4536"/>
          <w:tab w:val="left" w:pos="7938"/>
        </w:tabs>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85"/>
      </w:tblGrid>
      <w:tr w:rsidR="001B1819" w:rsidRPr="00577CA4" w:rsidTr="00800AB7">
        <w:tc>
          <w:tcPr>
            <w:tcW w:w="4698" w:type="dxa"/>
          </w:tcPr>
          <w:p w:rsidR="001B1819" w:rsidRPr="00577CA4" w:rsidRDefault="001B1819" w:rsidP="00800AB7">
            <w:pPr>
              <w:rPr>
                <w:szCs w:val="24"/>
              </w:rPr>
            </w:pPr>
            <w:r w:rsidRPr="00577CA4">
              <w:rPr>
                <w:szCs w:val="24"/>
              </w:rPr>
              <w:t>Til:</w:t>
            </w:r>
          </w:p>
        </w:tc>
        <w:tc>
          <w:tcPr>
            <w:tcW w:w="5058" w:type="dxa"/>
          </w:tcPr>
          <w:p w:rsidR="001B1819" w:rsidRPr="00577CA4" w:rsidRDefault="001B1819" w:rsidP="00800AB7">
            <w:pPr>
              <w:rPr>
                <w:szCs w:val="24"/>
              </w:rPr>
            </w:pPr>
            <w:r w:rsidRPr="00577CA4">
              <w:rPr>
                <w:szCs w:val="24"/>
              </w:rPr>
              <w:t>Fra:</w:t>
            </w:r>
          </w:p>
        </w:tc>
      </w:tr>
    </w:tbl>
    <w:p w:rsidR="00F76515" w:rsidRDefault="00F619B8" w:rsidP="00BF66F7">
      <w:pPr>
        <w:tabs>
          <w:tab w:val="left" w:pos="4678"/>
        </w:tabs>
        <w:rPr>
          <w:szCs w:val="24"/>
        </w:rPr>
      </w:pPr>
      <w:r>
        <w:rPr>
          <w:szCs w:val="24"/>
        </w:rPr>
        <w:t>Forbundsstyret</w:t>
      </w:r>
      <w:r w:rsidR="004409E9">
        <w:rPr>
          <w:szCs w:val="24"/>
        </w:rPr>
        <w:tab/>
      </w:r>
      <w:r w:rsidR="004E38A7">
        <w:rPr>
          <w:szCs w:val="24"/>
        </w:rPr>
        <w:t>Forbundsledelsen</w:t>
      </w:r>
      <w:r w:rsidR="00B6521A">
        <w:rPr>
          <w:szCs w:val="24"/>
        </w:rPr>
        <w:tab/>
      </w:r>
    </w:p>
    <w:p w:rsidR="00EB6A49" w:rsidRDefault="00BF66F7" w:rsidP="00BF66F7">
      <w:pPr>
        <w:tabs>
          <w:tab w:val="left" w:pos="4678"/>
        </w:tabs>
        <w:rPr>
          <w:szCs w:val="24"/>
        </w:rPr>
      </w:pPr>
      <w:r>
        <w:rPr>
          <w:szCs w:val="24"/>
        </w:rPr>
        <w:tab/>
      </w:r>
      <w:r>
        <w:rPr>
          <w:szCs w:val="24"/>
        </w:rPr>
        <w:tab/>
      </w:r>
    </w:p>
    <w:p w:rsidR="00EB6A49" w:rsidRPr="00577CA4" w:rsidRDefault="00EB6A49" w:rsidP="00DD7F2E">
      <w:pPr>
        <w:rPr>
          <w:szCs w:val="24"/>
        </w:rPr>
      </w:pPr>
    </w:p>
    <w:p w:rsidR="001004A2" w:rsidRPr="00577CA4" w:rsidRDefault="001004A2" w:rsidP="00DD7F2E">
      <w:pPr>
        <w:rPr>
          <w:szCs w:val="24"/>
        </w:rPr>
      </w:pPr>
    </w:p>
    <w:p w:rsidR="008B6D55" w:rsidRPr="00F619B8" w:rsidRDefault="00F619B8" w:rsidP="0029324A">
      <w:pPr>
        <w:rPr>
          <w:b/>
          <w:szCs w:val="24"/>
        </w:rPr>
      </w:pPr>
      <w:r w:rsidRPr="00F619B8">
        <w:rPr>
          <w:b/>
          <w:szCs w:val="24"/>
        </w:rPr>
        <w:t>Allmen</w:t>
      </w:r>
      <w:r w:rsidR="00A12B87">
        <w:rPr>
          <w:b/>
          <w:szCs w:val="24"/>
        </w:rPr>
        <w:t>n</w:t>
      </w:r>
      <w:r w:rsidRPr="00F619B8">
        <w:rPr>
          <w:b/>
          <w:szCs w:val="24"/>
        </w:rPr>
        <w:t>gjøring av Riksavtalen</w:t>
      </w:r>
    </w:p>
    <w:p w:rsidR="00DA1763" w:rsidRPr="00F619B8" w:rsidRDefault="00DA1763" w:rsidP="0029324A">
      <w:pPr>
        <w:rPr>
          <w:szCs w:val="24"/>
        </w:rPr>
      </w:pPr>
    </w:p>
    <w:p w:rsidR="00F619B8" w:rsidRDefault="00F619B8" w:rsidP="00F619B8">
      <w:pPr>
        <w:tabs>
          <w:tab w:val="left" w:pos="1191"/>
          <w:tab w:val="left" w:pos="2495"/>
          <w:tab w:val="left" w:pos="3799"/>
          <w:tab w:val="left" w:pos="5103"/>
          <w:tab w:val="left" w:pos="6407"/>
          <w:tab w:val="left" w:pos="7711"/>
          <w:tab w:val="left" w:pos="9015"/>
          <w:tab w:val="left" w:pos="10319"/>
        </w:tabs>
        <w:rPr>
          <w:b/>
        </w:rPr>
      </w:pPr>
      <w:r>
        <w:rPr>
          <w:b/>
        </w:rPr>
        <w:t>1 Innledning</w:t>
      </w: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I tariffoppgjøret 2016 fremmet </w:t>
      </w:r>
      <w:r w:rsidRPr="00CA4767">
        <w:t xml:space="preserve">Fellesforbundet </w:t>
      </w:r>
      <w:r>
        <w:t>krav om</w:t>
      </w:r>
      <w:r w:rsidRPr="00CA4767">
        <w:t xml:space="preserve"> at partene i </w:t>
      </w:r>
      <w:r>
        <w:t>Riksavtalen</w:t>
      </w:r>
      <w:r w:rsidRPr="00CA4767">
        <w:t xml:space="preserve"> </w:t>
      </w:r>
      <w:r>
        <w:t>skulle vurdere</w:t>
      </w:r>
      <w:r w:rsidRPr="00CA4767">
        <w:t xml:space="preserve"> en felles </w:t>
      </w:r>
      <w:r w:rsidRPr="00F26D18">
        <w:t xml:space="preserve">begjæring om </w:t>
      </w:r>
      <w:r w:rsidR="004E38A7">
        <w:t>allmenngjø</w:t>
      </w:r>
      <w:r w:rsidR="004E38A7" w:rsidRPr="00F26D18">
        <w:t>r</w:t>
      </w:r>
      <w:r w:rsidR="004E38A7">
        <w:t>i</w:t>
      </w:r>
      <w:r w:rsidR="004E38A7" w:rsidRPr="00F26D18">
        <w:t>ng</w:t>
      </w:r>
      <w:r w:rsidRPr="00F26D18">
        <w:t>. Dette kravet fikk vi ikke gjennomslag for i forhandlingene med NHO Reiseliv, og da oppgjøret gikk til mekling ble det ikke meklet på dette kravet. Bakgrunnen</w:t>
      </w:r>
      <w:r>
        <w:t xml:space="preserve"> for vårt krav var stor uro over den høye forekomsten av lavlønnskonkurranse og sosial dumping i hotell- og restaurantnæringen. Denne bekymringen har blitt ytterligere styrket gjennom det siste året, og vi mener at tida nå er inne å begjære allmenngjøring av deler av Riksavtalen. Etter vår vurdering vil begjæringen stå sterkt, selv om den fremmes uten støtte fra arbeidsgiversiden. Det er ingen forutsetning for en allmenngjøringsbegjæring at det foreligger enighet mellom partene, selv om det kan gjøre saksbehandlingen noe smidigere. Tariffnemnda, som fatter vedtak i saken, består av to partsrepresentanter og tre nøytrale medlemmer. Eksempelvis har nemnda flere ganger videreført allmenngjøringsforskriften for skips- og verftsindustrien, selv om arbeidsgiversiden har stemt </w:t>
      </w:r>
      <w:r w:rsidR="004E38A7">
        <w:t>imot</w:t>
      </w:r>
      <w:r>
        <w:t xml:space="preserve">. </w:t>
      </w:r>
    </w:p>
    <w:p w:rsidR="00F619B8" w:rsidRDefault="00F619B8" w:rsidP="00F619B8">
      <w:pPr>
        <w:tabs>
          <w:tab w:val="left" w:pos="1191"/>
          <w:tab w:val="left" w:pos="2495"/>
          <w:tab w:val="left" w:pos="3799"/>
          <w:tab w:val="left" w:pos="5103"/>
          <w:tab w:val="left" w:pos="6407"/>
          <w:tab w:val="left" w:pos="7711"/>
          <w:tab w:val="left" w:pos="9015"/>
          <w:tab w:val="left" w:pos="10319"/>
        </w:tabs>
      </w:pPr>
    </w:p>
    <w:p w:rsidR="00F619B8" w:rsidRPr="00B728E6" w:rsidRDefault="00F619B8" w:rsidP="00F619B8">
      <w:pPr>
        <w:tabs>
          <w:tab w:val="left" w:pos="1191"/>
          <w:tab w:val="left" w:pos="2495"/>
          <w:tab w:val="left" w:pos="3799"/>
          <w:tab w:val="left" w:pos="5103"/>
          <w:tab w:val="left" w:pos="6407"/>
          <w:tab w:val="left" w:pos="7711"/>
          <w:tab w:val="left" w:pos="9015"/>
          <w:tab w:val="left" w:pos="10319"/>
        </w:tabs>
        <w:rPr>
          <w:b/>
        </w:rPr>
      </w:pPr>
      <w:r w:rsidRPr="00B728E6">
        <w:rPr>
          <w:b/>
        </w:rPr>
        <w:lastRenderedPageBreak/>
        <w:t>2 Begrunnelse for allmenngjøring</w:t>
      </w:r>
    </w:p>
    <w:p w:rsidR="00F619B8" w:rsidRPr="00B728E6" w:rsidRDefault="00F619B8" w:rsidP="00F619B8">
      <w:pPr>
        <w:tabs>
          <w:tab w:val="left" w:pos="1191"/>
          <w:tab w:val="left" w:pos="2495"/>
          <w:tab w:val="left" w:pos="3799"/>
          <w:tab w:val="left" w:pos="5103"/>
          <w:tab w:val="left" w:pos="6407"/>
          <w:tab w:val="left" w:pos="7711"/>
          <w:tab w:val="left" w:pos="9015"/>
          <w:tab w:val="left" w:pos="10319"/>
        </w:tabs>
      </w:pPr>
      <w:r w:rsidRPr="00B728E6">
        <w:t xml:space="preserve">Fellesforbundet har i pr. 01.02.2017 8230 medlemmer på 945 overnattingsvirksomheter, serveringsvirksomheter og cateringvirksomheter bundet av tariffavtale. Herav er 7 575 medlemmer og 896 bedrifter bundet av Riksavtalen. Ved utgangen av 2015 var det registrert drøyt 91 000 arbeidstakere i overnattings-, serverings- og cateringvirksomhet i Norge (SSB). I følge Fafos beregninger arbeider om lag to tredjedeler av disse i bedrifter uten tariffavtale. Andelen utenlandske arbeidstakere har vært økende de siste årene. I 2008 hadde 28 prosent utenlandsk bakgrunn, mens dette gjaldt hele 43 prosent i 2015. Det har vært en særlig stor økning i antall arbeidstakere fra østeuropeiske EU-land. Selv om Fellesforbundet har økt medlemstallet, og det er tegnet flere tariffavtaler i denne bransjen, er ikke det nok til å demme opp for den negative utviklingen i næringen. </w:t>
      </w:r>
    </w:p>
    <w:p w:rsidR="00F619B8" w:rsidRDefault="00F619B8" w:rsidP="00F619B8">
      <w:pPr>
        <w:tabs>
          <w:tab w:val="left" w:pos="1191"/>
          <w:tab w:val="left" w:pos="2495"/>
          <w:tab w:val="left" w:pos="3799"/>
          <w:tab w:val="left" w:pos="5103"/>
          <w:tab w:val="left" w:pos="6407"/>
          <w:tab w:val="left" w:pos="7711"/>
          <w:tab w:val="left" w:pos="9015"/>
          <w:tab w:val="left" w:pos="10319"/>
        </w:tabs>
      </w:pPr>
    </w:p>
    <w:p w:rsidR="00F619B8" w:rsidRDefault="004E38A7" w:rsidP="00F619B8">
      <w:pPr>
        <w:tabs>
          <w:tab w:val="left" w:pos="1191"/>
          <w:tab w:val="left" w:pos="2495"/>
          <w:tab w:val="left" w:pos="3799"/>
          <w:tab w:val="left" w:pos="5103"/>
          <w:tab w:val="left" w:pos="6407"/>
          <w:tab w:val="left" w:pos="7711"/>
          <w:tab w:val="left" w:pos="9015"/>
          <w:tab w:val="left" w:pos="10319"/>
        </w:tabs>
      </w:pPr>
      <w:r w:rsidRPr="00377BB8">
        <w:t>Allmenngjøringslovens</w:t>
      </w:r>
      <w:r w:rsidR="00F619B8" w:rsidRPr="00377BB8">
        <w:t xml:space="preserve"> formål er å sikre utenlandske arbeidstakere lønns- og arbeidsvilkår som er likeverdige med de vilkår norske arbeidstakere har, og å hindre konkurransevridning til ulempe for det norske arbeidsmarkedet.</w:t>
      </w:r>
      <w:r w:rsidR="00F619B8">
        <w:t xml:space="preserve"> Gitt den lave avtaledekningen, er det per i dag det fullt lovlig å dumpe lønn i store deler av hotell- og restaurantnæringen. Dette kan ramme alle typer ansatte i ikke-tariffbundne bedrifter, men utenlandske arbeidstakere er særlig sårbare. Dersom vi lykkes i å få på plass en allmenngjøringsforskrift for overnattings-, serverings- og cateringvirksomhet vil det dessuten komme alle underbetalte arbeidstakere til gode, uavhengig av landbakgrunn. For seriøse tariffbundne arbeidsgivere vil allmenngjøring bidra til mer rettferdige konkurranseforhold. På tross av at NHO Reiseliv er kritiske til en slik regulering, vil antakelig mange av deres seriøse medlemsbedrifter hilse allmenngjøring velkommen. </w:t>
      </w:r>
    </w:p>
    <w:p w:rsidR="00234077" w:rsidRDefault="00234077" w:rsidP="00F619B8">
      <w:pPr>
        <w:tabs>
          <w:tab w:val="left" w:pos="1191"/>
          <w:tab w:val="left" w:pos="2495"/>
          <w:tab w:val="left" w:pos="3799"/>
          <w:tab w:val="left" w:pos="5103"/>
          <w:tab w:val="left" w:pos="6407"/>
          <w:tab w:val="left" w:pos="7711"/>
          <w:tab w:val="left" w:pos="9015"/>
          <w:tab w:val="left" w:pos="10319"/>
        </w:tabs>
      </w:pPr>
    </w:p>
    <w:p w:rsidR="00234077" w:rsidRDefault="00234077" w:rsidP="00F619B8">
      <w:pPr>
        <w:tabs>
          <w:tab w:val="left" w:pos="1191"/>
          <w:tab w:val="left" w:pos="2495"/>
          <w:tab w:val="left" w:pos="3799"/>
          <w:tab w:val="left" w:pos="5103"/>
          <w:tab w:val="left" w:pos="6407"/>
          <w:tab w:val="left" w:pos="7711"/>
          <w:tab w:val="left" w:pos="9015"/>
          <w:tab w:val="left" w:pos="10319"/>
        </w:tabs>
      </w:pPr>
    </w:p>
    <w:p w:rsidR="00F619B8" w:rsidRDefault="00F619B8" w:rsidP="00F619B8">
      <w:pPr>
        <w:tabs>
          <w:tab w:val="left" w:pos="1191"/>
          <w:tab w:val="left" w:pos="2495"/>
          <w:tab w:val="left" w:pos="3799"/>
          <w:tab w:val="left" w:pos="5103"/>
          <w:tab w:val="left" w:pos="6407"/>
          <w:tab w:val="left" w:pos="7711"/>
          <w:tab w:val="left" w:pos="9015"/>
          <w:tab w:val="left" w:pos="10319"/>
        </w:tabs>
      </w:pPr>
    </w:p>
    <w:p w:rsidR="00F619B8" w:rsidRDefault="00F619B8" w:rsidP="00F619B8">
      <w:pPr>
        <w:tabs>
          <w:tab w:val="left" w:pos="1191"/>
          <w:tab w:val="left" w:pos="2495"/>
          <w:tab w:val="left" w:pos="3799"/>
          <w:tab w:val="left" w:pos="5103"/>
          <w:tab w:val="left" w:pos="6407"/>
          <w:tab w:val="left" w:pos="7711"/>
          <w:tab w:val="left" w:pos="9015"/>
          <w:tab w:val="left" w:pos="10319"/>
        </w:tabs>
        <w:rPr>
          <w:b/>
        </w:rPr>
      </w:pPr>
      <w:r>
        <w:rPr>
          <w:b/>
        </w:rPr>
        <w:t>3 Dokumentasjon på sosial dumping</w:t>
      </w:r>
    </w:p>
    <w:p w:rsidR="00F619B8" w:rsidRDefault="00F619B8" w:rsidP="00F619B8">
      <w:pPr>
        <w:tabs>
          <w:tab w:val="left" w:pos="1191"/>
          <w:tab w:val="left" w:pos="2495"/>
          <w:tab w:val="left" w:pos="3799"/>
          <w:tab w:val="left" w:pos="5103"/>
          <w:tab w:val="left" w:pos="6407"/>
          <w:tab w:val="left" w:pos="7711"/>
          <w:tab w:val="left" w:pos="9015"/>
          <w:tab w:val="left" w:pos="10319"/>
        </w:tabs>
      </w:pPr>
      <w:r>
        <w:lastRenderedPageBreak/>
        <w:t>Allmenngjøringsloven har et toleddet dokumentasjonskrav</w:t>
      </w:r>
      <w:r w:rsidRPr="003B5A69">
        <w:t>: Først må den parten som begjærer allmenngjøring</w:t>
      </w:r>
      <w:r>
        <w:t xml:space="preserve"> (her Fellesforbundet v/LO)</w:t>
      </w:r>
      <w:r w:rsidRPr="003B5A69">
        <w:t xml:space="preserve">, framlegge dokumentasjon som tilsier at det er grunn til å tro at </w:t>
      </w:r>
      <w:r>
        <w:t>lovens vilkår</w:t>
      </w:r>
      <w:r w:rsidRPr="003B5A69">
        <w:t xml:space="preserve"> er oppfylt. Hvis saken deretter tas opp til behandling, kan Tariffnemnda treffe vedtak om allmenngjøring dersom det er dokumentert at utenlandske arbeidstakere har dårligere vilkår enn det som er vanlig i faget eller bransjen. I denne fasen er det Tariffnemnda som har ansvaret for at vedtaket er bygget på tilstrekkelig dokumentasjon</w:t>
      </w:r>
      <w:r>
        <w:t>. Men jo sterkere dokumentasjonen fra oss er i første fase, jo større er sjansen for å få en effektiv saksbehandling og positivt utfall</w:t>
      </w:r>
      <w:r w:rsidRPr="003B5A69">
        <w:t xml:space="preserve">. </w:t>
      </w:r>
    </w:p>
    <w:p w:rsidR="00F619B8" w:rsidRDefault="00F619B8" w:rsidP="00F619B8">
      <w:pPr>
        <w:tabs>
          <w:tab w:val="left" w:pos="1191"/>
          <w:tab w:val="left" w:pos="2495"/>
          <w:tab w:val="left" w:pos="3799"/>
          <w:tab w:val="left" w:pos="5103"/>
          <w:tab w:val="left" w:pos="6407"/>
          <w:tab w:val="left" w:pos="7711"/>
          <w:tab w:val="left" w:pos="9015"/>
          <w:tab w:val="left" w:pos="10319"/>
        </w:tabs>
      </w:pP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I samarbeid med avdelingene og distriktskontorene </w:t>
      </w:r>
      <w:r w:rsidRPr="00377BB8">
        <w:t xml:space="preserve">har </w:t>
      </w:r>
      <w:r>
        <w:t xml:space="preserve">vi </w:t>
      </w:r>
      <w:r w:rsidRPr="00377BB8">
        <w:t>utarbeidet solid dokumentasjon på at utenlandske arbeidstakere har lønn til dels langt under minstesatsen</w:t>
      </w:r>
      <w:r>
        <w:t>e</w:t>
      </w:r>
      <w:r w:rsidRPr="00377BB8">
        <w:t xml:space="preserve"> i </w:t>
      </w:r>
      <w:r>
        <w:t>Riksavtalen. Videre har vi innhentet statistikk og annen dokumentasjon. Sammenfattet inkluderer dokumentasjonen (bevisene i saken) følgende:</w:t>
      </w:r>
    </w:p>
    <w:p w:rsidR="00F619B8" w:rsidRDefault="00F619B8" w:rsidP="00F619B8">
      <w:pPr>
        <w:tabs>
          <w:tab w:val="left" w:pos="1191"/>
          <w:tab w:val="left" w:pos="2495"/>
          <w:tab w:val="left" w:pos="3799"/>
          <w:tab w:val="left" w:pos="5103"/>
          <w:tab w:val="left" w:pos="6407"/>
          <w:tab w:val="left" w:pos="7711"/>
          <w:tab w:val="left" w:pos="9015"/>
          <w:tab w:val="left" w:pos="10319"/>
        </w:tabs>
      </w:pPr>
      <w:r>
        <w:t>-14 konkrete eksempler på graverende lønnsdumping av utenlandske arbeidstakere, dokumentert gjennom arbeidsavtaler og lønnsslipper.</w:t>
      </w: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-Fafo har gjort en spesialanalyse av SSBs lønnsstatistikk fra 2014, som viser at samlet sett lå </w:t>
      </w:r>
      <w:r w:rsidRPr="00FB5181">
        <w:t xml:space="preserve">19 prosent av </w:t>
      </w:r>
      <w:r>
        <w:t>lønnstakerne</w:t>
      </w:r>
      <w:r w:rsidRPr="00FB5181">
        <w:t xml:space="preserve"> i overnattings- og serveringsvirksomhet under Riksavtalens laveste minstelønnssats i 2014</w:t>
      </w:r>
      <w:r>
        <w:t xml:space="preserve">. Innenfor serveringsvirksomhet var andelen høyere (26 prosent), mens den var lavere innenfor overnatting (7 prosent). Det dokumenteres klart at lønnstakere med utenlandsk bakgrunn oftere jobber under minstesatsen, og særlig nyankomne innvandrere. </w:t>
      </w: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-Arbeidstilsynets rapportering og tilsynsstatistikk fra overnattings- og serveringsbransjen, som viser at </w:t>
      </w:r>
      <w:r w:rsidRPr="00903847">
        <w:t>79 prosent av virksomhetene fikk en eller flere reaksjoner (mot 65 pro</w:t>
      </w:r>
      <w:r>
        <w:t xml:space="preserve">sent ved alle tilsyn generelt). </w:t>
      </w:r>
      <w:r w:rsidRPr="00903847">
        <w:t xml:space="preserve">Arbeidstilsynet </w:t>
      </w:r>
      <w:r>
        <w:t>pekte spesielt på at</w:t>
      </w:r>
      <w:r w:rsidRPr="00903847">
        <w:t xml:space="preserve"> det er mange utenlandske arbeidstakere i bransjen, som er ekstra sårbare for å bli utnyttet</w:t>
      </w:r>
      <w:r>
        <w:t>.</w:t>
      </w:r>
    </w:p>
    <w:p w:rsidR="00F619B8" w:rsidRPr="00903847" w:rsidRDefault="00F619B8" w:rsidP="00F619B8">
      <w:r>
        <w:lastRenderedPageBreak/>
        <w:t>-</w:t>
      </w:r>
      <w:r w:rsidRPr="00903847">
        <w:t xml:space="preserve"> </w:t>
      </w:r>
      <w:r>
        <w:t>Fafo-rapport om a</w:t>
      </w:r>
      <w:r w:rsidRPr="00903847">
        <w:t>rbeidsforhold i utelivsbransjen</w:t>
      </w:r>
      <w:r>
        <w:t xml:space="preserve">, som </w:t>
      </w:r>
      <w:r w:rsidRPr="00903847">
        <w:t>dokumenterer at bransjen har store utfordringer når det gjelder useriøsitet og lavlønnskonkurranse</w:t>
      </w:r>
      <w:r>
        <w:t xml:space="preserve">. </w:t>
      </w: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 </w:t>
      </w:r>
    </w:p>
    <w:p w:rsidR="00F619B8" w:rsidRDefault="00F619B8" w:rsidP="00F619B8">
      <w:pPr>
        <w:tabs>
          <w:tab w:val="left" w:pos="1191"/>
          <w:tab w:val="left" w:pos="2495"/>
          <w:tab w:val="left" w:pos="3799"/>
          <w:tab w:val="left" w:pos="5103"/>
          <w:tab w:val="left" w:pos="6407"/>
          <w:tab w:val="left" w:pos="7711"/>
          <w:tab w:val="left" w:pos="9015"/>
          <w:tab w:val="left" w:pos="10319"/>
        </w:tabs>
        <w:rPr>
          <w:b/>
        </w:rPr>
      </w:pPr>
      <w:r>
        <w:rPr>
          <w:b/>
        </w:rPr>
        <w:t>4 Hva bør allmenngjøres</w:t>
      </w:r>
    </w:p>
    <w:p w:rsidR="00F619B8" w:rsidRDefault="00F619B8" w:rsidP="00F619B8">
      <w:pPr>
        <w:tabs>
          <w:tab w:val="left" w:pos="1191"/>
          <w:tab w:val="left" w:pos="2495"/>
          <w:tab w:val="left" w:pos="3799"/>
          <w:tab w:val="left" w:pos="5103"/>
          <w:tab w:val="left" w:pos="6407"/>
          <w:tab w:val="left" w:pos="7711"/>
          <w:tab w:val="left" w:pos="9015"/>
          <w:tab w:val="left" w:pos="10319"/>
        </w:tabs>
      </w:pPr>
      <w:r>
        <w:t xml:space="preserve">Vedtak om allmenngjøring </w:t>
      </w:r>
      <w:r w:rsidRPr="00CF366E">
        <w:t>kan bare gjelde de deler av tariffavtalen som regulerer de enkelte arbeidstakeres lønns- og arbeidsvilkår.</w:t>
      </w:r>
      <w:r>
        <w:t xml:space="preserve"> Videre kan en tariffavtale allmenngjøres for en hel bransje eller en del av en bransje, eller for et avgrenset geografisk område. Vi ønsker at </w:t>
      </w:r>
      <w:r w:rsidRPr="002C7B33">
        <w:t xml:space="preserve">forskriften </w:t>
      </w:r>
      <w:r>
        <w:t xml:space="preserve">skal </w:t>
      </w:r>
      <w:r w:rsidRPr="002C7B33">
        <w:t>gis samme virkeområde som det som følger av omfan</w:t>
      </w:r>
      <w:r>
        <w:t>gsbestemmelsen i Riksavtalen, og at følgende bestemmelser allmenngjøres:</w:t>
      </w:r>
    </w:p>
    <w:p w:rsidR="00F619B8" w:rsidRDefault="00F619B8" w:rsidP="00F619B8">
      <w:pPr>
        <w:tabs>
          <w:tab w:val="left" w:pos="1191"/>
          <w:tab w:val="left" w:pos="2495"/>
          <w:tab w:val="left" w:pos="3799"/>
          <w:tab w:val="left" w:pos="5103"/>
          <w:tab w:val="left" w:pos="6407"/>
          <w:tab w:val="left" w:pos="7711"/>
          <w:tab w:val="left" w:pos="9015"/>
          <w:tab w:val="left" w:pos="10319"/>
        </w:tabs>
      </w:pPr>
    </w:p>
    <w:p w:rsidR="00F619B8" w:rsidRPr="00183AE8" w:rsidRDefault="00F619B8" w:rsidP="00F619B8">
      <w:pPr>
        <w:rPr>
          <w:i/>
          <w:szCs w:val="24"/>
        </w:rPr>
      </w:pPr>
      <w:r w:rsidRPr="00183AE8">
        <w:rPr>
          <w:i/>
          <w:szCs w:val="24"/>
        </w:rPr>
        <w:t>Omfangsbestemmelse og aktuelle arbeidsområder</w:t>
      </w:r>
    </w:p>
    <w:p w:rsidR="00F619B8" w:rsidRPr="00183AE8" w:rsidRDefault="00F619B8" w:rsidP="00F619B8">
      <w:pPr>
        <w:ind w:left="708"/>
        <w:rPr>
          <w:szCs w:val="24"/>
        </w:rPr>
      </w:pPr>
    </w:p>
    <w:p w:rsidR="00F619B8" w:rsidRPr="00183AE8" w:rsidRDefault="00F619B8" w:rsidP="00F619B8">
      <w:pPr>
        <w:rPr>
          <w:szCs w:val="24"/>
        </w:rPr>
      </w:pPr>
      <w:r w:rsidRPr="00183AE8">
        <w:rPr>
          <w:szCs w:val="24"/>
        </w:rPr>
        <w:t>Det anmodes om at forskriften gis samme virkeområde som det som følger av omfangsbestemmelsen i overenskomstens § 1-1.</w:t>
      </w:r>
    </w:p>
    <w:p w:rsidR="00F619B8" w:rsidRPr="00183AE8" w:rsidRDefault="00F619B8" w:rsidP="00F619B8">
      <w:pPr>
        <w:ind w:left="708"/>
        <w:rPr>
          <w:szCs w:val="24"/>
        </w:rPr>
      </w:pPr>
    </w:p>
    <w:p w:rsidR="00F619B8" w:rsidRPr="00183AE8" w:rsidRDefault="00F619B8" w:rsidP="00F619B8">
      <w:pPr>
        <w:rPr>
          <w:szCs w:val="24"/>
        </w:rPr>
      </w:pPr>
      <w:r w:rsidRPr="00183AE8">
        <w:rPr>
          <w:szCs w:val="24"/>
        </w:rPr>
        <w:t>Forslag til angivelse av virkeområde lyder som følger:</w:t>
      </w:r>
    </w:p>
    <w:p w:rsidR="00F619B8" w:rsidRPr="00183AE8" w:rsidRDefault="00F619B8" w:rsidP="00F619B8">
      <w:pPr>
        <w:rPr>
          <w:i/>
          <w:szCs w:val="24"/>
        </w:rPr>
      </w:pPr>
    </w:p>
    <w:p w:rsidR="00F619B8" w:rsidRPr="00183AE8" w:rsidRDefault="00F619B8" w:rsidP="00F619B8">
      <w:pPr>
        <w:autoSpaceDE w:val="0"/>
        <w:autoSpaceDN w:val="0"/>
        <w:adjustRightInd w:val="0"/>
        <w:ind w:left="708"/>
        <w:rPr>
          <w:szCs w:val="24"/>
        </w:rPr>
      </w:pPr>
      <w:r w:rsidRPr="00183AE8">
        <w:rPr>
          <w:szCs w:val="24"/>
        </w:rPr>
        <w:t>«Forskriften gjelder ansatte innenfor overnattingsvirksomhet, serveringsvirksomhet, cateringsvirksomhet og lignende på land, med unntak av ansatte som faller inn under Landforpleiningsavtalen og ansatte som organisasjonsmessig hører inn under avtaleområdet til FLT/LO.»</w:t>
      </w:r>
    </w:p>
    <w:p w:rsidR="00F619B8" w:rsidRPr="00183AE8" w:rsidRDefault="00F619B8" w:rsidP="00F619B8">
      <w:pPr>
        <w:ind w:firstLine="708"/>
        <w:rPr>
          <w:b/>
          <w:i/>
          <w:szCs w:val="24"/>
        </w:rPr>
      </w:pPr>
    </w:p>
    <w:p w:rsidR="00F619B8" w:rsidRPr="00183AE8" w:rsidRDefault="00F619B8" w:rsidP="00F619B8">
      <w:pPr>
        <w:rPr>
          <w:i/>
          <w:szCs w:val="24"/>
        </w:rPr>
      </w:pPr>
      <w:r w:rsidRPr="00183AE8">
        <w:rPr>
          <w:i/>
          <w:szCs w:val="24"/>
        </w:rPr>
        <w:t>Overenskomstens lønnsbestemmelser, grunnlønn / minstelønn</w:t>
      </w:r>
    </w:p>
    <w:p w:rsidR="00F619B8" w:rsidRPr="00183AE8" w:rsidRDefault="00F619B8" w:rsidP="00F619B8">
      <w:pPr>
        <w:rPr>
          <w:i/>
          <w:szCs w:val="24"/>
        </w:rPr>
      </w:pPr>
    </w:p>
    <w:p w:rsidR="00F619B8" w:rsidRPr="00183AE8" w:rsidRDefault="00F619B8" w:rsidP="00F619B8">
      <w:pPr>
        <w:rPr>
          <w:szCs w:val="24"/>
        </w:rPr>
      </w:pPr>
      <w:r w:rsidRPr="00183AE8">
        <w:rPr>
          <w:szCs w:val="24"/>
        </w:rPr>
        <w:t xml:space="preserve">Overenskomstens </w:t>
      </w:r>
      <w:r w:rsidR="004E38A7" w:rsidRPr="00183AE8">
        <w:rPr>
          <w:szCs w:val="24"/>
        </w:rPr>
        <w:t>minstelønnssatser</w:t>
      </w:r>
      <w:r w:rsidRPr="00183AE8">
        <w:rPr>
          <w:szCs w:val="24"/>
        </w:rPr>
        <w:t xml:space="preserve"> framgår av § </w:t>
      </w:r>
      <w:r w:rsidR="004E38A7">
        <w:rPr>
          <w:szCs w:val="24"/>
        </w:rPr>
        <w:t>3.3. Denne bestemmelsens s</w:t>
      </w:r>
      <w:r w:rsidRPr="00183AE8">
        <w:rPr>
          <w:szCs w:val="24"/>
        </w:rPr>
        <w:t>atser</w:t>
      </w:r>
      <w:r w:rsidR="004E38A7">
        <w:rPr>
          <w:szCs w:val="24"/>
        </w:rPr>
        <w:t xml:space="preserve"> for unge arbeidstakere</w:t>
      </w:r>
      <w:r w:rsidRPr="00183AE8">
        <w:rPr>
          <w:szCs w:val="24"/>
        </w:rPr>
        <w:t xml:space="preserve">, 16 år, 17 år, 18 år og begynnerlønn for alminnelig arbeidstid på 37,5 timer i uka begjæres allmengjort. Overenskomstens bestemmelse om fastlønn i § 3.3 er en minstelønnsbestemmelse. I tillegg til fastlønnen som følger av § 3.3 kan partene avtale bedriftsinterne tillegg etter </w:t>
      </w:r>
      <w:r w:rsidRPr="00183AE8">
        <w:rPr>
          <w:szCs w:val="24"/>
        </w:rPr>
        <w:lastRenderedPageBreak/>
        <w:t xml:space="preserve">§3.1. De bedriftsinterne tilleggene skal føre til at faktisk lønnsnivå er høyere enn det som framgår av overenskomstens lønnsbestemmelse. LO legger likevel til grunn satsene som følger av § 3.3 som eneste sats for fastlønn. Satsen etter tariffrevisjonen 2016 for unge arbeidstakere, øvrige arbeidere og fagarbeidere fremkommer i tabellene under. Arbeidstidsreduksjon følger av Arbeidsmiljøloven § 10-4 (1) der normalarbeidsuken er definert til 40 timer i løpet av 7 dager og er sammenlignbar med tariffavtalens alminnelige normalarbeidsuke på 37,5 timer. Likeledes skal Arbeidsmiljølovens § 10-4 (4) benyttes til å definere avlønning etter 35,5 timer alminnelig arbeidsuke. </w:t>
      </w:r>
    </w:p>
    <w:p w:rsidR="00F619B8" w:rsidRPr="00183AE8" w:rsidRDefault="00F619B8" w:rsidP="00F619B8">
      <w:pPr>
        <w:rPr>
          <w:b/>
          <w:color w:val="FF0000"/>
          <w:szCs w:val="24"/>
        </w:rPr>
      </w:pPr>
    </w:p>
    <w:p w:rsidR="00F619B8" w:rsidRPr="00183AE8" w:rsidRDefault="00F619B8" w:rsidP="00F619B8">
      <w:pPr>
        <w:rPr>
          <w:szCs w:val="24"/>
        </w:rPr>
      </w:pPr>
      <w:r w:rsidRPr="00183AE8">
        <w:rPr>
          <w:szCs w:val="24"/>
        </w:rPr>
        <w:t>Definisjonen av unge arbeidstakere er inntatt i overenskomstens § 3.3 punkt 3.1:</w:t>
      </w:r>
    </w:p>
    <w:p w:rsidR="00F619B8" w:rsidRPr="00183AE8" w:rsidRDefault="00F619B8" w:rsidP="00F619B8">
      <w:pPr>
        <w:rPr>
          <w:szCs w:val="24"/>
        </w:rPr>
      </w:pPr>
    </w:p>
    <w:p w:rsidR="00F619B8" w:rsidRPr="00183AE8" w:rsidRDefault="00F619B8" w:rsidP="00F619B8">
      <w:pPr>
        <w:rPr>
          <w:i/>
          <w:szCs w:val="24"/>
        </w:rPr>
      </w:pPr>
      <w:r w:rsidRPr="00183AE8">
        <w:rPr>
          <w:i/>
          <w:szCs w:val="24"/>
        </w:rPr>
        <w:t>«3.1 Minstelønn for unge arbeidstakere</w:t>
      </w:r>
    </w:p>
    <w:p w:rsidR="00F619B8" w:rsidRPr="00183AE8" w:rsidRDefault="00F619B8" w:rsidP="00F619B8">
      <w:pPr>
        <w:rPr>
          <w:i/>
          <w:szCs w:val="24"/>
        </w:rPr>
      </w:pPr>
      <w:r w:rsidRPr="00183AE8">
        <w:rPr>
          <w:i/>
          <w:szCs w:val="24"/>
        </w:rPr>
        <w:t>Lærlinger lønnes ikke etter satser for unge arbeidstakere i de tilfeller lærlingen arbeider og/eller lønnes som ufaglært arbeidstaker. Se særbestemmelser for lærlinger.»</w:t>
      </w:r>
    </w:p>
    <w:p w:rsidR="00F619B8" w:rsidRPr="00183AE8" w:rsidRDefault="00F619B8" w:rsidP="00F619B8">
      <w:pPr>
        <w:rPr>
          <w:szCs w:val="24"/>
        </w:rPr>
      </w:pPr>
    </w:p>
    <w:tbl>
      <w:tblPr>
        <w:tblW w:w="8240" w:type="dxa"/>
        <w:tblCellMar>
          <w:left w:w="70" w:type="dxa"/>
          <w:right w:w="70" w:type="dxa"/>
        </w:tblCellMar>
        <w:tblLook w:val="04A0" w:firstRow="1" w:lastRow="0" w:firstColumn="1" w:lastColumn="0" w:noHBand="0" w:noVBand="1"/>
      </w:tblPr>
      <w:tblGrid>
        <w:gridCol w:w="820"/>
        <w:gridCol w:w="5980"/>
        <w:gridCol w:w="720"/>
        <w:gridCol w:w="720"/>
      </w:tblGrid>
      <w:tr w:rsidR="00F619B8" w:rsidRPr="00183AE8" w:rsidTr="00414A3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18"/>
                <w:szCs w:val="18"/>
              </w:rPr>
            </w:pPr>
            <w:r w:rsidRPr="00183AE8">
              <w:rPr>
                <w:sz w:val="18"/>
                <w:szCs w:val="18"/>
              </w:rPr>
              <w:t>§ 3.3-3.1</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MINSTELØNN - UNGE ARBEIDSTAKERE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(1)</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16 år</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105,39</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100,18</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jc w:val="right"/>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17 år</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115,39</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109,68</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jc w:val="right"/>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18 år</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130,39</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123,94</w:t>
            </w:r>
          </w:p>
        </w:tc>
      </w:tr>
    </w:tbl>
    <w:p w:rsidR="00F619B8" w:rsidRPr="00183AE8" w:rsidRDefault="00F619B8" w:rsidP="00F619B8">
      <w:pPr>
        <w:rPr>
          <w:szCs w:val="24"/>
        </w:rPr>
      </w:pPr>
    </w:p>
    <w:p w:rsidR="00F619B8" w:rsidRPr="00183AE8" w:rsidRDefault="00F619B8" w:rsidP="00F619B8">
      <w:pPr>
        <w:rPr>
          <w:szCs w:val="24"/>
        </w:rPr>
      </w:pPr>
    </w:p>
    <w:p w:rsidR="00F619B8" w:rsidRPr="00183AE8" w:rsidRDefault="00F619B8" w:rsidP="00F619B8">
      <w:pPr>
        <w:rPr>
          <w:szCs w:val="24"/>
        </w:rPr>
      </w:pPr>
      <w:r w:rsidRPr="00183AE8">
        <w:rPr>
          <w:szCs w:val="24"/>
        </w:rPr>
        <w:t>Definisjonen av kokker er inntatt i overenskomstens § 3.3 punkt 3.2:</w:t>
      </w:r>
    </w:p>
    <w:p w:rsidR="00F619B8" w:rsidRPr="00183AE8" w:rsidRDefault="00F619B8" w:rsidP="00F619B8">
      <w:pPr>
        <w:rPr>
          <w:szCs w:val="24"/>
        </w:rPr>
      </w:pPr>
    </w:p>
    <w:p w:rsidR="00F619B8" w:rsidRPr="00183AE8" w:rsidRDefault="00F619B8" w:rsidP="00F619B8">
      <w:pPr>
        <w:autoSpaceDE w:val="0"/>
        <w:autoSpaceDN w:val="0"/>
        <w:adjustRightInd w:val="0"/>
        <w:rPr>
          <w:b/>
          <w:bCs/>
          <w:i/>
          <w:szCs w:val="24"/>
        </w:rPr>
      </w:pPr>
      <w:r w:rsidRPr="00183AE8">
        <w:rPr>
          <w:i/>
          <w:szCs w:val="24"/>
        </w:rPr>
        <w:t>«</w:t>
      </w:r>
      <w:r w:rsidRPr="00183AE8">
        <w:rPr>
          <w:b/>
          <w:bCs/>
          <w:i/>
          <w:szCs w:val="24"/>
        </w:rPr>
        <w:t>3.2 Minstelønn for kokker</w:t>
      </w:r>
    </w:p>
    <w:p w:rsidR="00F619B8" w:rsidRPr="00183AE8" w:rsidRDefault="00F619B8" w:rsidP="00F619B8">
      <w:pPr>
        <w:autoSpaceDE w:val="0"/>
        <w:autoSpaceDN w:val="0"/>
        <w:adjustRightInd w:val="0"/>
        <w:rPr>
          <w:i/>
          <w:szCs w:val="24"/>
        </w:rPr>
      </w:pPr>
      <w:r w:rsidRPr="00183AE8">
        <w:rPr>
          <w:i/>
          <w:szCs w:val="24"/>
        </w:rPr>
        <w:t xml:space="preserve">Arbeidstakere som arbeider i varmtkjøkken, koldtkjøkken, smørbrødkjøkken med tilliggende avdelinger, så som kjøttbod, konditori og lignende som hovedsakelig arbeider med matlaging lønnes etter denne tabell. Arbeidstakere som </w:t>
      </w:r>
      <w:r w:rsidRPr="00183AE8">
        <w:rPr>
          <w:i/>
          <w:szCs w:val="24"/>
        </w:rPr>
        <w:lastRenderedPageBreak/>
        <w:t xml:space="preserve">jobber med betjening av elektroovn og enklere betjening av hel </w:t>
      </w:r>
      <w:r w:rsidRPr="00183AE8">
        <w:rPr>
          <w:rFonts w:eastAsia="TimesNewRomanPSMT"/>
          <w:i/>
          <w:szCs w:val="24"/>
        </w:rPr>
        <w:t xml:space="preserve">- </w:t>
      </w:r>
      <w:r w:rsidRPr="00183AE8">
        <w:rPr>
          <w:i/>
          <w:szCs w:val="24"/>
        </w:rPr>
        <w:t>eller halvfabrikata og øvrige arbeidstakere lønnes etter tabellen i punkt 3.3.»</w:t>
      </w:r>
    </w:p>
    <w:p w:rsidR="00F619B8" w:rsidRPr="00183AE8" w:rsidRDefault="00F619B8" w:rsidP="00F619B8">
      <w:pPr>
        <w:rPr>
          <w:szCs w:val="24"/>
        </w:rPr>
      </w:pPr>
    </w:p>
    <w:tbl>
      <w:tblPr>
        <w:tblW w:w="8240" w:type="dxa"/>
        <w:tblCellMar>
          <w:left w:w="70" w:type="dxa"/>
          <w:right w:w="70" w:type="dxa"/>
        </w:tblCellMar>
        <w:tblLook w:val="04A0" w:firstRow="1" w:lastRow="0" w:firstColumn="1" w:lastColumn="0" w:noHBand="0" w:noVBand="1"/>
      </w:tblPr>
      <w:tblGrid>
        <w:gridCol w:w="820"/>
        <w:gridCol w:w="5980"/>
        <w:gridCol w:w="720"/>
        <w:gridCol w:w="720"/>
      </w:tblGrid>
      <w:tr w:rsidR="00F619B8" w:rsidRPr="00183AE8" w:rsidTr="00414A3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18"/>
                <w:szCs w:val="18"/>
              </w:rPr>
            </w:pPr>
            <w:r w:rsidRPr="00183AE8">
              <w:rPr>
                <w:sz w:val="18"/>
                <w:szCs w:val="18"/>
              </w:rPr>
              <w:t>§ 3.3-3.2</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MINSTELØNN - KOKKER m/FAGBREV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(1)</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Begynnerlønn</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174,02</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165,41</w:t>
            </w:r>
          </w:p>
        </w:tc>
      </w:tr>
      <w:tr w:rsidR="00F619B8" w:rsidRPr="00183AE8" w:rsidTr="00414A3E">
        <w:trPr>
          <w:trHeight w:val="255"/>
        </w:trPr>
        <w:tc>
          <w:tcPr>
            <w:tcW w:w="820" w:type="dxa"/>
            <w:tcBorders>
              <w:top w:val="nil"/>
              <w:left w:val="nil"/>
              <w:bottom w:val="nil"/>
              <w:right w:val="nil"/>
            </w:tcBorders>
            <w:shd w:val="clear" w:color="auto" w:fill="auto"/>
            <w:noWrap/>
            <w:vAlign w:val="bottom"/>
          </w:tcPr>
          <w:p w:rsidR="00F619B8" w:rsidRPr="00183AE8" w:rsidRDefault="00F619B8" w:rsidP="00414A3E">
            <w:pPr>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tcPr>
          <w:p w:rsidR="00F619B8" w:rsidRPr="00183AE8" w:rsidRDefault="00F619B8" w:rsidP="00414A3E">
            <w:pPr>
              <w:rPr>
                <w:sz w:val="20"/>
              </w:rPr>
            </w:pPr>
            <w:r w:rsidRPr="00183AE8">
              <w:rPr>
                <w:sz w:val="20"/>
              </w:rPr>
              <w:t>Etter 2 års praksis som kokk</w:t>
            </w:r>
          </w:p>
        </w:tc>
        <w:tc>
          <w:tcPr>
            <w:tcW w:w="720" w:type="dxa"/>
            <w:tcBorders>
              <w:top w:val="nil"/>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175,72</w:t>
            </w:r>
          </w:p>
        </w:tc>
        <w:tc>
          <w:tcPr>
            <w:tcW w:w="720" w:type="dxa"/>
            <w:tcBorders>
              <w:top w:val="nil"/>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167,03</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jc w:val="right"/>
              <w:rPr>
                <w:sz w:val="20"/>
              </w:rPr>
            </w:pPr>
          </w:p>
        </w:tc>
        <w:tc>
          <w:tcPr>
            <w:tcW w:w="598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7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7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r>
      <w:tr w:rsidR="00F619B8" w:rsidRPr="00183AE8" w:rsidTr="00414A3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18"/>
                <w:szCs w:val="18"/>
              </w:rPr>
            </w:pPr>
            <w:r w:rsidRPr="00183AE8">
              <w:rPr>
                <w:sz w:val="18"/>
                <w:szCs w:val="18"/>
              </w:rPr>
              <w:t>§ 3.3-3.2</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MINSTELØNN - KOKKER u/FAGBREV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(1)</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Begynnerlønn for arbeidstakere over 20år/etter 4 mnd. praksis over 18 år</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166,32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158,09</w:t>
            </w:r>
          </w:p>
        </w:tc>
      </w:tr>
      <w:tr w:rsidR="00F619B8" w:rsidRPr="00183AE8" w:rsidTr="00414A3E">
        <w:trPr>
          <w:trHeight w:val="255"/>
        </w:trPr>
        <w:tc>
          <w:tcPr>
            <w:tcW w:w="820" w:type="dxa"/>
            <w:tcBorders>
              <w:top w:val="nil"/>
              <w:left w:val="nil"/>
              <w:bottom w:val="nil"/>
              <w:right w:val="nil"/>
            </w:tcBorders>
            <w:shd w:val="clear" w:color="auto" w:fill="auto"/>
            <w:noWrap/>
            <w:vAlign w:val="bottom"/>
          </w:tcPr>
          <w:p w:rsidR="00F619B8" w:rsidRPr="00183AE8" w:rsidRDefault="00F619B8" w:rsidP="00414A3E">
            <w:pPr>
              <w:rPr>
                <w:sz w:val="20"/>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9B8" w:rsidRPr="00183AE8" w:rsidRDefault="00F619B8" w:rsidP="00414A3E">
            <w:pPr>
              <w:rPr>
                <w:sz w:val="20"/>
              </w:rPr>
            </w:pPr>
            <w:r w:rsidRPr="00183AE8">
              <w:rPr>
                <w:sz w:val="20"/>
              </w:rPr>
              <w:t>Etter 2 års praksis som kokk</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166,97</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158,71</w:t>
            </w:r>
          </w:p>
        </w:tc>
      </w:tr>
    </w:tbl>
    <w:p w:rsidR="00F619B8" w:rsidRPr="00183AE8" w:rsidRDefault="00F619B8" w:rsidP="00F619B8">
      <w:pPr>
        <w:rPr>
          <w:szCs w:val="24"/>
        </w:rPr>
      </w:pPr>
    </w:p>
    <w:p w:rsidR="00F619B8" w:rsidRPr="00183AE8" w:rsidRDefault="00F619B8" w:rsidP="00F619B8">
      <w:pPr>
        <w:rPr>
          <w:szCs w:val="24"/>
        </w:rPr>
      </w:pPr>
    </w:p>
    <w:p w:rsidR="00F619B8" w:rsidRPr="00183AE8" w:rsidRDefault="00F619B8" w:rsidP="00F619B8">
      <w:pPr>
        <w:rPr>
          <w:szCs w:val="24"/>
        </w:rPr>
      </w:pPr>
      <w:r w:rsidRPr="00183AE8">
        <w:rPr>
          <w:szCs w:val="24"/>
        </w:rPr>
        <w:t xml:space="preserve">Definisjonen av øvrige arbeidstakere er inntatt i overenskomstens §3.3 punkt 3.3. </w:t>
      </w:r>
      <w:r w:rsidRPr="00183AE8">
        <w:rPr>
          <w:szCs w:val="24"/>
        </w:rPr>
        <w:br/>
      </w:r>
    </w:p>
    <w:p w:rsidR="00F619B8" w:rsidRPr="00183AE8" w:rsidRDefault="00F619B8" w:rsidP="00F619B8">
      <w:pPr>
        <w:autoSpaceDE w:val="0"/>
        <w:autoSpaceDN w:val="0"/>
        <w:adjustRightInd w:val="0"/>
        <w:rPr>
          <w:b/>
          <w:bCs/>
          <w:i/>
          <w:szCs w:val="24"/>
        </w:rPr>
      </w:pPr>
      <w:r w:rsidRPr="00183AE8">
        <w:rPr>
          <w:b/>
          <w:bCs/>
          <w:i/>
          <w:szCs w:val="24"/>
        </w:rPr>
        <w:t>«3.3 Minstelønn for øvrige arbeidstakere</w:t>
      </w:r>
    </w:p>
    <w:p w:rsidR="00F619B8" w:rsidRPr="00183AE8" w:rsidRDefault="00F619B8" w:rsidP="00F619B8">
      <w:pPr>
        <w:autoSpaceDE w:val="0"/>
        <w:autoSpaceDN w:val="0"/>
        <w:adjustRightInd w:val="0"/>
        <w:rPr>
          <w:i/>
          <w:szCs w:val="24"/>
        </w:rPr>
      </w:pPr>
      <w:r w:rsidRPr="00183AE8">
        <w:rPr>
          <w:i/>
          <w:szCs w:val="24"/>
        </w:rPr>
        <w:t>Arbeidstaker med fagbrev godkjent av Utdanningsdirektoratet har rett til lønn som faglært</w:t>
      </w:r>
    </w:p>
    <w:p w:rsidR="00F619B8" w:rsidRPr="00183AE8" w:rsidRDefault="00F619B8" w:rsidP="00F619B8">
      <w:pPr>
        <w:autoSpaceDE w:val="0"/>
        <w:autoSpaceDN w:val="0"/>
        <w:adjustRightInd w:val="0"/>
        <w:rPr>
          <w:i/>
          <w:szCs w:val="24"/>
        </w:rPr>
      </w:pPr>
      <w:r w:rsidRPr="00183AE8">
        <w:rPr>
          <w:i/>
          <w:szCs w:val="24"/>
        </w:rPr>
        <w:t>arbeidstaker dersom vedkommende jobber på det fagområdet fagbrevet gjelder for. Fagbrev eller annen fagutdanning av lik verdi fra andre land kvalifiserer også den enkelte arbeidstaker til lønn som faglært arbeidstaker. Tvilstilfeller om fagutdanningens verdi kan avgjøres av tariffpartene eller Utdanningsdirektoratet.»</w:t>
      </w:r>
    </w:p>
    <w:p w:rsidR="00F619B8" w:rsidRPr="00183AE8" w:rsidRDefault="00F619B8" w:rsidP="00F619B8">
      <w:pPr>
        <w:rPr>
          <w:szCs w:val="24"/>
        </w:rPr>
      </w:pPr>
    </w:p>
    <w:tbl>
      <w:tblPr>
        <w:tblW w:w="8240" w:type="dxa"/>
        <w:tblCellMar>
          <w:left w:w="70" w:type="dxa"/>
          <w:right w:w="70" w:type="dxa"/>
        </w:tblCellMar>
        <w:tblLook w:val="04A0" w:firstRow="1" w:lastRow="0" w:firstColumn="1" w:lastColumn="0" w:noHBand="0" w:noVBand="1"/>
      </w:tblPr>
      <w:tblGrid>
        <w:gridCol w:w="820"/>
        <w:gridCol w:w="5980"/>
        <w:gridCol w:w="720"/>
        <w:gridCol w:w="720"/>
      </w:tblGrid>
      <w:tr w:rsidR="00F619B8" w:rsidRPr="00183AE8" w:rsidTr="00414A3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18"/>
                <w:szCs w:val="18"/>
              </w:rPr>
            </w:pPr>
            <w:r w:rsidRPr="00183AE8">
              <w:rPr>
                <w:sz w:val="18"/>
                <w:szCs w:val="18"/>
              </w:rPr>
              <w:t>§ 3.3-3.3</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MINSTELØNN - ØVRIGE ARBEIDSTAKERE m/FAGBREV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(1)</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Begynnerlønn</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169,90</w:t>
            </w:r>
          </w:p>
        </w:tc>
        <w:tc>
          <w:tcPr>
            <w:tcW w:w="720" w:type="dxa"/>
            <w:tcBorders>
              <w:top w:val="nil"/>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161,49</w:t>
            </w:r>
          </w:p>
        </w:tc>
      </w:tr>
      <w:tr w:rsidR="00F619B8" w:rsidRPr="00183AE8" w:rsidTr="00414A3E">
        <w:trPr>
          <w:trHeight w:val="255"/>
        </w:trPr>
        <w:tc>
          <w:tcPr>
            <w:tcW w:w="820" w:type="dxa"/>
            <w:tcBorders>
              <w:top w:val="nil"/>
              <w:left w:val="nil"/>
              <w:bottom w:val="nil"/>
              <w:right w:val="nil"/>
            </w:tcBorders>
            <w:shd w:val="clear" w:color="auto" w:fill="auto"/>
            <w:noWrap/>
            <w:vAlign w:val="bottom"/>
          </w:tcPr>
          <w:p w:rsidR="00F619B8" w:rsidRPr="00183AE8" w:rsidRDefault="00F619B8" w:rsidP="00414A3E">
            <w:pPr>
              <w:rPr>
                <w:sz w:val="20"/>
              </w:rPr>
            </w:pPr>
          </w:p>
        </w:tc>
        <w:tc>
          <w:tcPr>
            <w:tcW w:w="5980" w:type="dxa"/>
            <w:tcBorders>
              <w:top w:val="nil"/>
              <w:left w:val="single" w:sz="4" w:space="0" w:color="auto"/>
              <w:bottom w:val="single" w:sz="4" w:space="0" w:color="auto"/>
              <w:right w:val="single" w:sz="4" w:space="0" w:color="auto"/>
            </w:tcBorders>
            <w:shd w:val="clear" w:color="auto" w:fill="auto"/>
            <w:noWrap/>
            <w:vAlign w:val="bottom"/>
          </w:tcPr>
          <w:p w:rsidR="00F619B8" w:rsidRPr="00183AE8" w:rsidRDefault="00F619B8" w:rsidP="00414A3E">
            <w:pPr>
              <w:rPr>
                <w:sz w:val="20"/>
              </w:rPr>
            </w:pPr>
            <w:r w:rsidRPr="00183AE8">
              <w:rPr>
                <w:sz w:val="20"/>
              </w:rPr>
              <w:t>Etter 2 års praksis i bransjen</w:t>
            </w:r>
          </w:p>
        </w:tc>
        <w:tc>
          <w:tcPr>
            <w:tcW w:w="720" w:type="dxa"/>
            <w:tcBorders>
              <w:top w:val="nil"/>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172,64</w:t>
            </w:r>
          </w:p>
        </w:tc>
        <w:tc>
          <w:tcPr>
            <w:tcW w:w="720" w:type="dxa"/>
            <w:tcBorders>
              <w:top w:val="nil"/>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164,10</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jc w:val="right"/>
              <w:rPr>
                <w:sz w:val="20"/>
              </w:rPr>
            </w:pPr>
          </w:p>
        </w:tc>
        <w:tc>
          <w:tcPr>
            <w:tcW w:w="598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7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7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r>
      <w:tr w:rsidR="00F619B8" w:rsidRPr="00183AE8" w:rsidTr="00414A3E">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18"/>
                <w:szCs w:val="18"/>
              </w:rPr>
            </w:pPr>
            <w:r w:rsidRPr="00183AE8">
              <w:rPr>
                <w:sz w:val="18"/>
                <w:szCs w:val="18"/>
              </w:rPr>
              <w:t>§ 3.3-3.3</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MINSTELØNN - ØVRIGE ARBEIDSTAKERE u/FAGBREV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4E38A7" w:rsidP="00414A3E">
            <w:pPr>
              <w:jc w:val="center"/>
              <w:rPr>
                <w:sz w:val="14"/>
                <w:szCs w:val="14"/>
              </w:rPr>
            </w:pPr>
            <w:r w:rsidRPr="00183AE8">
              <w:rPr>
                <w:sz w:val="14"/>
                <w:szCs w:val="14"/>
              </w:rPr>
              <w:t>AML</w:t>
            </w:r>
            <w:r w:rsidR="00F619B8" w:rsidRPr="00183AE8">
              <w:rPr>
                <w:sz w:val="14"/>
                <w:szCs w:val="14"/>
              </w:rPr>
              <w:t xml:space="preserve"> §10-4 (1)</w:t>
            </w:r>
          </w:p>
        </w:tc>
      </w:tr>
      <w:tr w:rsidR="00F619B8" w:rsidRPr="00183AE8" w:rsidTr="00414A3E">
        <w:trPr>
          <w:trHeight w:val="255"/>
        </w:trPr>
        <w:tc>
          <w:tcPr>
            <w:tcW w:w="820" w:type="dxa"/>
            <w:tcBorders>
              <w:top w:val="nil"/>
              <w:left w:val="nil"/>
              <w:bottom w:val="nil"/>
              <w:right w:val="nil"/>
            </w:tcBorders>
            <w:shd w:val="clear" w:color="auto" w:fill="auto"/>
            <w:noWrap/>
            <w:vAlign w:val="bottom"/>
            <w:hideMark/>
          </w:tcPr>
          <w:p w:rsidR="00F619B8" w:rsidRPr="00183AE8" w:rsidRDefault="00F619B8" w:rsidP="00414A3E">
            <w:pPr>
              <w:rPr>
                <w:sz w:val="20"/>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9B8" w:rsidRPr="00183AE8" w:rsidRDefault="00F619B8" w:rsidP="00414A3E">
            <w:pPr>
              <w:rPr>
                <w:sz w:val="20"/>
              </w:rPr>
            </w:pPr>
            <w:r w:rsidRPr="00183AE8">
              <w:rPr>
                <w:sz w:val="20"/>
              </w:rPr>
              <w:t>Begynnerlønn for arbeidstakere over 20år/etter 4 mnd. praksis over 18 år</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161,14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619B8" w:rsidRPr="00183AE8" w:rsidRDefault="00F619B8" w:rsidP="00414A3E">
            <w:pPr>
              <w:jc w:val="right"/>
              <w:rPr>
                <w:sz w:val="20"/>
              </w:rPr>
            </w:pPr>
            <w:r w:rsidRPr="00183AE8">
              <w:rPr>
                <w:sz w:val="20"/>
              </w:rPr>
              <w:t>153,17</w:t>
            </w:r>
          </w:p>
        </w:tc>
      </w:tr>
      <w:tr w:rsidR="00F619B8" w:rsidRPr="00183AE8" w:rsidTr="00414A3E">
        <w:trPr>
          <w:trHeight w:val="255"/>
        </w:trPr>
        <w:tc>
          <w:tcPr>
            <w:tcW w:w="820" w:type="dxa"/>
            <w:tcBorders>
              <w:top w:val="nil"/>
              <w:left w:val="nil"/>
              <w:bottom w:val="nil"/>
              <w:right w:val="nil"/>
            </w:tcBorders>
            <w:shd w:val="clear" w:color="auto" w:fill="auto"/>
            <w:noWrap/>
            <w:vAlign w:val="bottom"/>
          </w:tcPr>
          <w:p w:rsidR="00F619B8" w:rsidRPr="00183AE8" w:rsidRDefault="00F619B8" w:rsidP="00414A3E">
            <w:pPr>
              <w:rPr>
                <w:sz w:val="20"/>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9B8" w:rsidRPr="00183AE8" w:rsidRDefault="00F619B8" w:rsidP="00414A3E">
            <w:pPr>
              <w:rPr>
                <w:sz w:val="20"/>
              </w:rPr>
            </w:pPr>
            <w:r w:rsidRPr="00183AE8">
              <w:rPr>
                <w:sz w:val="20"/>
              </w:rPr>
              <w:t>Etter 2 års praksis i bransjen</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163,88</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F619B8" w:rsidRPr="00183AE8" w:rsidRDefault="00F619B8" w:rsidP="00414A3E">
            <w:pPr>
              <w:jc w:val="right"/>
              <w:rPr>
                <w:sz w:val="20"/>
              </w:rPr>
            </w:pPr>
            <w:r w:rsidRPr="00183AE8">
              <w:rPr>
                <w:sz w:val="20"/>
              </w:rPr>
              <w:t>155,78</w:t>
            </w:r>
          </w:p>
        </w:tc>
      </w:tr>
    </w:tbl>
    <w:p w:rsidR="00F619B8" w:rsidRPr="00183AE8" w:rsidRDefault="00F619B8" w:rsidP="00F619B8">
      <w:pPr>
        <w:rPr>
          <w:szCs w:val="24"/>
        </w:rPr>
      </w:pPr>
    </w:p>
    <w:p w:rsidR="00F619B8" w:rsidRPr="00183AE8" w:rsidRDefault="00F619B8" w:rsidP="00F619B8">
      <w:pPr>
        <w:rPr>
          <w:szCs w:val="24"/>
        </w:rPr>
      </w:pPr>
    </w:p>
    <w:p w:rsidR="00F619B8" w:rsidRPr="00183AE8" w:rsidRDefault="00F619B8" w:rsidP="00F619B8">
      <w:pPr>
        <w:rPr>
          <w:szCs w:val="24"/>
        </w:rPr>
      </w:pPr>
      <w:r w:rsidRPr="00183AE8">
        <w:rPr>
          <w:szCs w:val="24"/>
        </w:rPr>
        <w:t xml:space="preserve">Overenskomsten inneholder trekksatser for kost på bedrifter som serverer mat og fratrekk i bruttolønnen for innkvartering i bedriften. </w:t>
      </w:r>
    </w:p>
    <w:p w:rsidR="00F619B8" w:rsidRPr="00183AE8" w:rsidRDefault="00F619B8" w:rsidP="00F619B8">
      <w:pPr>
        <w:rPr>
          <w:szCs w:val="24"/>
        </w:rPr>
      </w:pPr>
    </w:p>
    <w:p w:rsidR="00F619B8" w:rsidRPr="00183AE8" w:rsidRDefault="00F619B8" w:rsidP="00F619B8">
      <w:pPr>
        <w:rPr>
          <w:szCs w:val="24"/>
        </w:rPr>
      </w:pPr>
      <w:r w:rsidRPr="00183AE8">
        <w:rPr>
          <w:szCs w:val="24"/>
        </w:rPr>
        <w:t>Definisjonen av kost er inntatt i overenskomstens § 1.11:</w:t>
      </w:r>
    </w:p>
    <w:p w:rsidR="00F619B8" w:rsidRPr="00183AE8" w:rsidRDefault="00F619B8" w:rsidP="00F619B8">
      <w:pPr>
        <w:rPr>
          <w:szCs w:val="24"/>
        </w:rPr>
      </w:pPr>
    </w:p>
    <w:p w:rsidR="00F619B8" w:rsidRPr="00183AE8" w:rsidRDefault="00F619B8" w:rsidP="00F619B8">
      <w:pPr>
        <w:rPr>
          <w:b/>
          <w:i/>
          <w:szCs w:val="24"/>
        </w:rPr>
      </w:pPr>
      <w:r w:rsidRPr="00183AE8">
        <w:rPr>
          <w:i/>
          <w:szCs w:val="24"/>
        </w:rPr>
        <w:t>«</w:t>
      </w:r>
      <w:r w:rsidRPr="00183AE8">
        <w:rPr>
          <w:b/>
          <w:i/>
          <w:szCs w:val="24"/>
        </w:rPr>
        <w:t>§ 1.11 Kost</w:t>
      </w:r>
    </w:p>
    <w:p w:rsidR="00F619B8" w:rsidRPr="00183AE8" w:rsidRDefault="00F619B8" w:rsidP="00F619B8">
      <w:pPr>
        <w:rPr>
          <w:i/>
          <w:szCs w:val="24"/>
        </w:rPr>
      </w:pPr>
      <w:r w:rsidRPr="00183AE8">
        <w:rPr>
          <w:i/>
          <w:szCs w:val="24"/>
        </w:rPr>
        <w:t>På bedrifter som serverer mat, skal partene avtale den kantine/kostordning som skal gjelde. På den enkelte bedrift kan hele personalet - eller enkelte arbeidskategorier – som en fast ordning fritt kunne velge ikke å ha kost i bedriften.</w:t>
      </w:r>
    </w:p>
    <w:p w:rsidR="00F619B8" w:rsidRPr="00183AE8" w:rsidRDefault="00F619B8" w:rsidP="00F619B8">
      <w:pPr>
        <w:rPr>
          <w:i/>
          <w:szCs w:val="24"/>
        </w:rPr>
      </w:pPr>
    </w:p>
    <w:p w:rsidR="00F619B8" w:rsidRPr="00183AE8" w:rsidRDefault="00F619B8" w:rsidP="00F619B8">
      <w:pPr>
        <w:rPr>
          <w:i/>
          <w:szCs w:val="24"/>
        </w:rPr>
      </w:pPr>
      <w:r w:rsidRPr="00183AE8">
        <w:rPr>
          <w:i/>
          <w:szCs w:val="24"/>
        </w:rPr>
        <w:t>Inngås ingen bedriftsintern avtale om pris pr måltid, kommer tariffavtalens sats pr. måltid til anvendelse. Pr. 1. juni 2016 utgjør dette kr 28,38.</w:t>
      </w:r>
    </w:p>
    <w:p w:rsidR="00F619B8" w:rsidRPr="00183AE8" w:rsidRDefault="00F619B8" w:rsidP="00F619B8">
      <w:pPr>
        <w:rPr>
          <w:i/>
          <w:szCs w:val="24"/>
        </w:rPr>
      </w:pPr>
    </w:p>
    <w:p w:rsidR="00F619B8" w:rsidRPr="00183AE8" w:rsidRDefault="00F619B8" w:rsidP="00F619B8">
      <w:pPr>
        <w:rPr>
          <w:i/>
          <w:szCs w:val="24"/>
        </w:rPr>
      </w:pPr>
      <w:r w:rsidRPr="00183AE8">
        <w:rPr>
          <w:i/>
          <w:szCs w:val="24"/>
        </w:rPr>
        <w:t>Ett måltid kan være enten frokost, lunch, middag, eller aftensmat, og bør være sunn variert og næringsrik.»</w:t>
      </w:r>
    </w:p>
    <w:p w:rsidR="00F619B8" w:rsidRPr="00183AE8" w:rsidRDefault="00F619B8" w:rsidP="00F619B8">
      <w:pPr>
        <w:rPr>
          <w:i/>
          <w:szCs w:val="24"/>
        </w:rPr>
      </w:pPr>
    </w:p>
    <w:p w:rsidR="00F619B8" w:rsidRPr="00183AE8" w:rsidRDefault="00F619B8" w:rsidP="00F619B8">
      <w:pPr>
        <w:rPr>
          <w:szCs w:val="24"/>
        </w:rPr>
      </w:pPr>
      <w:r w:rsidRPr="00183AE8">
        <w:rPr>
          <w:szCs w:val="24"/>
        </w:rPr>
        <w:t>Definisjonen av innkvartering i bedrift er inntatt i overenskomstens § 6.1 punkt 1.1:</w:t>
      </w:r>
    </w:p>
    <w:p w:rsidR="00F619B8" w:rsidRPr="00183AE8" w:rsidRDefault="00F619B8" w:rsidP="00F619B8">
      <w:pPr>
        <w:autoSpaceDE w:val="0"/>
        <w:autoSpaceDN w:val="0"/>
        <w:adjustRightInd w:val="0"/>
        <w:rPr>
          <w:b/>
          <w:bCs/>
          <w:szCs w:val="24"/>
        </w:rPr>
      </w:pPr>
    </w:p>
    <w:p w:rsidR="00F619B8" w:rsidRPr="00183AE8" w:rsidRDefault="00F619B8" w:rsidP="00F619B8">
      <w:pPr>
        <w:autoSpaceDE w:val="0"/>
        <w:autoSpaceDN w:val="0"/>
        <w:adjustRightInd w:val="0"/>
        <w:rPr>
          <w:b/>
          <w:bCs/>
          <w:i/>
          <w:szCs w:val="24"/>
        </w:rPr>
      </w:pPr>
      <w:r w:rsidRPr="00183AE8">
        <w:rPr>
          <w:b/>
          <w:bCs/>
          <w:i/>
          <w:szCs w:val="24"/>
        </w:rPr>
        <w:t>«1.1 Fratrekk i bruttolønnen for innkvartering i bedriften</w:t>
      </w:r>
    </w:p>
    <w:p w:rsidR="00F619B8" w:rsidRPr="00183AE8" w:rsidRDefault="00F619B8" w:rsidP="00F619B8">
      <w:pPr>
        <w:autoSpaceDE w:val="0"/>
        <w:autoSpaceDN w:val="0"/>
        <w:adjustRightInd w:val="0"/>
        <w:rPr>
          <w:i/>
          <w:szCs w:val="24"/>
        </w:rPr>
      </w:pPr>
      <w:r w:rsidRPr="00183AE8">
        <w:rPr>
          <w:i/>
          <w:szCs w:val="24"/>
        </w:rPr>
        <w:t>For enkeltrom kr 513,08 pr. måned</w:t>
      </w:r>
    </w:p>
    <w:p w:rsidR="00F619B8" w:rsidRPr="00183AE8" w:rsidRDefault="00F619B8" w:rsidP="00F619B8">
      <w:pPr>
        <w:autoSpaceDE w:val="0"/>
        <w:autoSpaceDN w:val="0"/>
        <w:adjustRightInd w:val="0"/>
        <w:rPr>
          <w:i/>
          <w:szCs w:val="24"/>
        </w:rPr>
      </w:pPr>
      <w:r w:rsidRPr="00183AE8">
        <w:rPr>
          <w:i/>
          <w:szCs w:val="24"/>
        </w:rPr>
        <w:t>For dobbeltrom kr 333,72 pr. måned</w:t>
      </w:r>
    </w:p>
    <w:p w:rsidR="00F619B8" w:rsidRPr="00183AE8" w:rsidRDefault="00F619B8" w:rsidP="00F619B8">
      <w:pPr>
        <w:autoSpaceDE w:val="0"/>
        <w:autoSpaceDN w:val="0"/>
        <w:adjustRightInd w:val="0"/>
        <w:rPr>
          <w:i/>
          <w:szCs w:val="24"/>
        </w:rPr>
      </w:pPr>
    </w:p>
    <w:p w:rsidR="00F619B8" w:rsidRPr="00183AE8" w:rsidRDefault="00F619B8" w:rsidP="00F619B8">
      <w:pPr>
        <w:autoSpaceDE w:val="0"/>
        <w:autoSpaceDN w:val="0"/>
        <w:adjustRightInd w:val="0"/>
        <w:rPr>
          <w:i/>
          <w:szCs w:val="24"/>
        </w:rPr>
      </w:pPr>
      <w:r w:rsidRPr="00183AE8">
        <w:rPr>
          <w:i/>
          <w:szCs w:val="24"/>
        </w:rPr>
        <w:t>Ved fraflytting skal det gis minst 1 måneds varsel. En arbeidstaker som fratrer sin stilling ved bedriften skal, hvis ikke annet er avtalt, flytte ut fratredelsesdagen.</w:t>
      </w:r>
    </w:p>
    <w:p w:rsidR="00F619B8" w:rsidRPr="00183AE8" w:rsidRDefault="00F619B8" w:rsidP="00F619B8">
      <w:pPr>
        <w:autoSpaceDE w:val="0"/>
        <w:autoSpaceDN w:val="0"/>
        <w:adjustRightInd w:val="0"/>
        <w:rPr>
          <w:i/>
          <w:szCs w:val="24"/>
        </w:rPr>
      </w:pPr>
    </w:p>
    <w:p w:rsidR="00F619B8" w:rsidRPr="00183AE8" w:rsidRDefault="00F619B8" w:rsidP="00F619B8">
      <w:pPr>
        <w:autoSpaceDE w:val="0"/>
        <w:autoSpaceDN w:val="0"/>
        <w:adjustRightInd w:val="0"/>
        <w:rPr>
          <w:i/>
          <w:szCs w:val="24"/>
        </w:rPr>
      </w:pPr>
      <w:r w:rsidRPr="00183AE8">
        <w:rPr>
          <w:i/>
          <w:szCs w:val="24"/>
        </w:rPr>
        <w:t>Betaling for innkvarteringen bortfaller fra samme tidspunkt.»</w:t>
      </w:r>
    </w:p>
    <w:p w:rsidR="0039787A" w:rsidRPr="00F619B8" w:rsidRDefault="0039787A" w:rsidP="0029324A">
      <w:pPr>
        <w:rPr>
          <w:szCs w:val="24"/>
        </w:rPr>
      </w:pPr>
    </w:p>
    <w:p w:rsidR="0039787A" w:rsidRPr="00F619B8" w:rsidRDefault="0039787A" w:rsidP="0029324A">
      <w:pPr>
        <w:rPr>
          <w:szCs w:val="24"/>
        </w:rPr>
      </w:pPr>
    </w:p>
    <w:p w:rsidR="00F619B8" w:rsidRPr="00F619B8" w:rsidRDefault="0039787A" w:rsidP="00BF66F7">
      <w:pPr>
        <w:rPr>
          <w:szCs w:val="24"/>
        </w:rPr>
      </w:pPr>
      <w:r w:rsidRPr="00F619B8">
        <w:rPr>
          <w:b/>
          <w:szCs w:val="24"/>
        </w:rPr>
        <w:t>Forslag til vedtak:</w:t>
      </w:r>
      <w:r w:rsidR="00BF66F7" w:rsidRPr="00F619B8">
        <w:rPr>
          <w:szCs w:val="24"/>
        </w:rPr>
        <w:t xml:space="preserve"> </w:t>
      </w:r>
    </w:p>
    <w:p w:rsidR="00F619B8" w:rsidRDefault="00F619B8" w:rsidP="00BF66F7">
      <w:pPr>
        <w:rPr>
          <w:szCs w:val="24"/>
        </w:rPr>
      </w:pPr>
    </w:p>
    <w:p w:rsidR="00F619B8" w:rsidRPr="00E036B4" w:rsidRDefault="00F619B8" w:rsidP="00F619B8">
      <w:pPr>
        <w:pStyle w:val="Forslagvedtak"/>
        <w:tabs>
          <w:tab w:val="clear" w:pos="1191"/>
          <w:tab w:val="clear" w:pos="2495"/>
          <w:tab w:val="clear" w:pos="3799"/>
          <w:tab w:val="clear" w:pos="5103"/>
          <w:tab w:val="clear" w:pos="6407"/>
          <w:tab w:val="clear" w:pos="7711"/>
          <w:tab w:val="clear" w:pos="9015"/>
          <w:tab w:val="clear" w:pos="10319"/>
        </w:tabs>
        <w:ind w:left="1276" w:firstLine="0"/>
        <w:rPr>
          <w:color w:val="auto"/>
        </w:rPr>
      </w:pPr>
      <w:r w:rsidRPr="00E036B4">
        <w:rPr>
          <w:color w:val="auto"/>
        </w:rPr>
        <w:t xml:space="preserve">Fellesforbundet ber LO fremme sak for Tariffnemda med begjæring om allmenngjøring av bestemmelser i Riksavtalen. </w:t>
      </w:r>
    </w:p>
    <w:p w:rsidR="00BF66F7" w:rsidRPr="00F619B8" w:rsidRDefault="00B6521A" w:rsidP="00BF66F7">
      <w:pPr>
        <w:rPr>
          <w:szCs w:val="24"/>
        </w:rPr>
      </w:pPr>
      <w:r w:rsidRPr="00F619B8">
        <w:rPr>
          <w:szCs w:val="24"/>
        </w:rPr>
        <w:tab/>
      </w:r>
      <w:r w:rsidRPr="00F619B8">
        <w:rPr>
          <w:szCs w:val="24"/>
        </w:rPr>
        <w:tab/>
      </w:r>
      <w:r w:rsidRPr="00F619B8">
        <w:rPr>
          <w:szCs w:val="24"/>
        </w:rPr>
        <w:tab/>
      </w:r>
    </w:p>
    <w:p w:rsidR="005A5829" w:rsidRPr="00F619B8" w:rsidRDefault="005A5829" w:rsidP="00DD7F2E">
      <w:pPr>
        <w:rPr>
          <w:szCs w:val="24"/>
        </w:rPr>
      </w:pPr>
    </w:p>
    <w:p w:rsidR="005A5829" w:rsidRPr="00F619B8" w:rsidRDefault="005A5829" w:rsidP="00DD7F2E">
      <w:pPr>
        <w:rPr>
          <w:szCs w:val="24"/>
        </w:rPr>
      </w:pPr>
    </w:p>
    <w:p w:rsidR="005A5829" w:rsidRPr="00F619B8" w:rsidRDefault="005A5829" w:rsidP="00DD7F2E">
      <w:pPr>
        <w:rPr>
          <w:szCs w:val="24"/>
        </w:rPr>
      </w:pPr>
    </w:p>
    <w:p w:rsidR="005A5829" w:rsidRPr="00F619B8" w:rsidRDefault="005A5829" w:rsidP="00DD7F2E">
      <w:pPr>
        <w:rPr>
          <w:szCs w:val="24"/>
        </w:rPr>
      </w:pPr>
    </w:p>
    <w:p w:rsidR="005A5829" w:rsidRPr="00F619B8" w:rsidRDefault="005A5829" w:rsidP="00DD7F2E">
      <w:pPr>
        <w:rPr>
          <w:szCs w:val="24"/>
        </w:rPr>
      </w:pPr>
    </w:p>
    <w:p w:rsidR="005A5829" w:rsidRPr="00F619B8" w:rsidRDefault="005A5829" w:rsidP="00DD7F2E">
      <w:pPr>
        <w:rPr>
          <w:szCs w:val="24"/>
        </w:rPr>
      </w:pPr>
    </w:p>
    <w:p w:rsidR="005A5829" w:rsidRPr="00F619B8" w:rsidRDefault="005A5829" w:rsidP="00DD7F2E">
      <w:pPr>
        <w:rPr>
          <w:szCs w:val="24"/>
        </w:rPr>
      </w:pPr>
    </w:p>
    <w:sectPr w:rsidR="005A5829" w:rsidRPr="00F619B8" w:rsidSect="00295062">
      <w:headerReference w:type="even" r:id="rId10"/>
      <w:headerReference w:type="default" r:id="rId11"/>
      <w:headerReference w:type="first" r:id="rId12"/>
      <w:type w:val="continuous"/>
      <w:pgSz w:w="11907" w:h="16840" w:code="9"/>
      <w:pgMar w:top="630" w:right="851" w:bottom="851" w:left="1440" w:header="454" w:footer="284" w:gutter="0"/>
      <w:paperSrc w:first="2" w:other="1"/>
      <w:cols w:space="708"/>
      <w:noEndnote/>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E89" w:rsidRDefault="00216E89">
      <w:r>
        <w:separator/>
      </w:r>
    </w:p>
  </w:endnote>
  <w:endnote w:type="continuationSeparator" w:id="0">
    <w:p w:rsidR="00216E89" w:rsidRDefault="0021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E89" w:rsidRDefault="00216E89">
      <w:r>
        <w:separator/>
      </w:r>
    </w:p>
  </w:footnote>
  <w:footnote w:type="continuationSeparator" w:id="0">
    <w:p w:rsidR="00216E89" w:rsidRDefault="0021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2E" w:rsidRDefault="00620A11">
    <w:pPr>
      <w:pStyle w:val="Topptekst"/>
      <w:framePr w:wrap="around" w:vAnchor="text" w:hAnchor="margin" w:xAlign="center" w:y="1"/>
      <w:rPr>
        <w:rStyle w:val="Sidetall"/>
      </w:rPr>
    </w:pPr>
    <w:r>
      <w:rPr>
        <w:rStyle w:val="Sidetall"/>
      </w:rPr>
      <w:fldChar w:fldCharType="begin"/>
    </w:r>
    <w:r w:rsidR="00DD7F2E">
      <w:rPr>
        <w:rStyle w:val="Sidetall"/>
      </w:rPr>
      <w:instrText xml:space="preserve">PAGE  </w:instrText>
    </w:r>
    <w:r>
      <w:rPr>
        <w:rStyle w:val="Sidetall"/>
      </w:rPr>
      <w:fldChar w:fldCharType="end"/>
    </w:r>
  </w:p>
  <w:p w:rsidR="00DD7F2E" w:rsidRDefault="00DD7F2E">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3032"/>
      <w:docPartObj>
        <w:docPartGallery w:val="Page Numbers (Top of Page)"/>
        <w:docPartUnique/>
      </w:docPartObj>
    </w:sdtPr>
    <w:sdtEndPr/>
    <w:sdtContent>
      <w:p w:rsidR="005A5829" w:rsidRDefault="00620A11">
        <w:pPr>
          <w:pStyle w:val="Topptekst"/>
          <w:jc w:val="center"/>
        </w:pPr>
        <w:r w:rsidRPr="005A5829">
          <w:rPr>
            <w:szCs w:val="24"/>
          </w:rPr>
          <w:fldChar w:fldCharType="begin"/>
        </w:r>
        <w:r w:rsidR="005A5829" w:rsidRPr="005A5829">
          <w:rPr>
            <w:szCs w:val="24"/>
          </w:rPr>
          <w:instrText xml:space="preserve"> PAGE   \* MERGEFORMAT </w:instrText>
        </w:r>
        <w:r w:rsidRPr="005A5829">
          <w:rPr>
            <w:szCs w:val="24"/>
          </w:rPr>
          <w:fldChar w:fldCharType="separate"/>
        </w:r>
        <w:r w:rsidR="0062666B">
          <w:rPr>
            <w:noProof/>
            <w:szCs w:val="24"/>
          </w:rPr>
          <w:t>4</w:t>
        </w:r>
        <w:r w:rsidRPr="005A5829">
          <w:rPr>
            <w:szCs w:val="24"/>
          </w:rPr>
          <w:fldChar w:fldCharType="end"/>
        </w:r>
      </w:p>
    </w:sdtContent>
  </w:sdt>
  <w:p w:rsidR="00DD7F2E" w:rsidRDefault="00DD7F2E">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8C" w:rsidRDefault="0009058C">
    <w:pPr>
      <w:pStyle w:val="Topptekst"/>
      <w:jc w:val="center"/>
    </w:pPr>
  </w:p>
  <w:p w:rsidR="0076767F" w:rsidRDefault="0076767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52BB3"/>
    <w:multiLevelType w:val="hybridMultilevel"/>
    <w:tmpl w:val="D2188C36"/>
    <w:lvl w:ilvl="0" w:tplc="F5EAA0BC">
      <w:numFmt w:val="bullet"/>
      <w:lvlText w:val="-"/>
      <w:lvlJc w:val="left"/>
      <w:pPr>
        <w:ind w:left="405" w:hanging="360"/>
      </w:pPr>
      <w:rPr>
        <w:rFonts w:ascii="Times New Roman" w:eastAsia="Times New Roman" w:hAnsi="Times New Roman"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44"/>
    <w:rsid w:val="0000391D"/>
    <w:rsid w:val="000102BA"/>
    <w:rsid w:val="00047098"/>
    <w:rsid w:val="0007159B"/>
    <w:rsid w:val="0009058C"/>
    <w:rsid w:val="000947AD"/>
    <w:rsid w:val="000B0022"/>
    <w:rsid w:val="000D2579"/>
    <w:rsid w:val="000D7054"/>
    <w:rsid w:val="001004A2"/>
    <w:rsid w:val="00142BF1"/>
    <w:rsid w:val="00176244"/>
    <w:rsid w:val="00186C78"/>
    <w:rsid w:val="00190A29"/>
    <w:rsid w:val="001B1819"/>
    <w:rsid w:val="001B19B5"/>
    <w:rsid w:val="001D30F6"/>
    <w:rsid w:val="001D7653"/>
    <w:rsid w:val="001E162A"/>
    <w:rsid w:val="001F5D9B"/>
    <w:rsid w:val="00212F4B"/>
    <w:rsid w:val="00216E89"/>
    <w:rsid w:val="00234077"/>
    <w:rsid w:val="002444F0"/>
    <w:rsid w:val="0025739F"/>
    <w:rsid w:val="00260117"/>
    <w:rsid w:val="00263A50"/>
    <w:rsid w:val="00282DB0"/>
    <w:rsid w:val="00287D39"/>
    <w:rsid w:val="0029324A"/>
    <w:rsid w:val="00295062"/>
    <w:rsid w:val="002C3402"/>
    <w:rsid w:val="002C72D0"/>
    <w:rsid w:val="002D61DF"/>
    <w:rsid w:val="002E6C23"/>
    <w:rsid w:val="003154B6"/>
    <w:rsid w:val="003275C2"/>
    <w:rsid w:val="00352ABC"/>
    <w:rsid w:val="003751C4"/>
    <w:rsid w:val="0039113D"/>
    <w:rsid w:val="00392E6F"/>
    <w:rsid w:val="0039787A"/>
    <w:rsid w:val="003B5587"/>
    <w:rsid w:val="00405329"/>
    <w:rsid w:val="004129CC"/>
    <w:rsid w:val="004409E9"/>
    <w:rsid w:val="00455255"/>
    <w:rsid w:val="00473D9F"/>
    <w:rsid w:val="00484FE4"/>
    <w:rsid w:val="00486689"/>
    <w:rsid w:val="00494B55"/>
    <w:rsid w:val="004970C1"/>
    <w:rsid w:val="00497482"/>
    <w:rsid w:val="004A5AD7"/>
    <w:rsid w:val="004C7A3B"/>
    <w:rsid w:val="004D41F4"/>
    <w:rsid w:val="004E38A7"/>
    <w:rsid w:val="004E7DE5"/>
    <w:rsid w:val="004F37CB"/>
    <w:rsid w:val="004F6CB5"/>
    <w:rsid w:val="0050233F"/>
    <w:rsid w:val="00507AF8"/>
    <w:rsid w:val="00515952"/>
    <w:rsid w:val="00515C69"/>
    <w:rsid w:val="005403CE"/>
    <w:rsid w:val="00577CA4"/>
    <w:rsid w:val="005A5829"/>
    <w:rsid w:val="005B3FDE"/>
    <w:rsid w:val="005E5D42"/>
    <w:rsid w:val="00602539"/>
    <w:rsid w:val="00610746"/>
    <w:rsid w:val="00611236"/>
    <w:rsid w:val="00620A11"/>
    <w:rsid w:val="0062666B"/>
    <w:rsid w:val="00637D66"/>
    <w:rsid w:val="00644EEF"/>
    <w:rsid w:val="00654605"/>
    <w:rsid w:val="0066791A"/>
    <w:rsid w:val="00680F9F"/>
    <w:rsid w:val="00691C29"/>
    <w:rsid w:val="007154D5"/>
    <w:rsid w:val="00723A1A"/>
    <w:rsid w:val="00742AE8"/>
    <w:rsid w:val="00744A05"/>
    <w:rsid w:val="007450F4"/>
    <w:rsid w:val="00745D69"/>
    <w:rsid w:val="00765B8C"/>
    <w:rsid w:val="0076767F"/>
    <w:rsid w:val="00787EE4"/>
    <w:rsid w:val="007A2E8E"/>
    <w:rsid w:val="007B6615"/>
    <w:rsid w:val="007F07F0"/>
    <w:rsid w:val="007F1B6A"/>
    <w:rsid w:val="008040FE"/>
    <w:rsid w:val="00833E97"/>
    <w:rsid w:val="00860936"/>
    <w:rsid w:val="00861195"/>
    <w:rsid w:val="00891BE0"/>
    <w:rsid w:val="00891D1A"/>
    <w:rsid w:val="00892B85"/>
    <w:rsid w:val="008B457A"/>
    <w:rsid w:val="008B6D55"/>
    <w:rsid w:val="008E304D"/>
    <w:rsid w:val="00902289"/>
    <w:rsid w:val="0093327A"/>
    <w:rsid w:val="00944029"/>
    <w:rsid w:val="009458B0"/>
    <w:rsid w:val="00956B56"/>
    <w:rsid w:val="00960E0D"/>
    <w:rsid w:val="009E313C"/>
    <w:rsid w:val="00A0000F"/>
    <w:rsid w:val="00A12B87"/>
    <w:rsid w:val="00A31B18"/>
    <w:rsid w:val="00A46196"/>
    <w:rsid w:val="00A542FE"/>
    <w:rsid w:val="00A674F5"/>
    <w:rsid w:val="00A70E2B"/>
    <w:rsid w:val="00A95F08"/>
    <w:rsid w:val="00AB66DE"/>
    <w:rsid w:val="00AE0587"/>
    <w:rsid w:val="00AE36F2"/>
    <w:rsid w:val="00AE37A7"/>
    <w:rsid w:val="00B05C7A"/>
    <w:rsid w:val="00B07360"/>
    <w:rsid w:val="00B24A2A"/>
    <w:rsid w:val="00B47973"/>
    <w:rsid w:val="00B6521A"/>
    <w:rsid w:val="00B80D26"/>
    <w:rsid w:val="00B850D8"/>
    <w:rsid w:val="00B859D5"/>
    <w:rsid w:val="00BA0300"/>
    <w:rsid w:val="00BD1EA2"/>
    <w:rsid w:val="00BE5834"/>
    <w:rsid w:val="00BF3D69"/>
    <w:rsid w:val="00BF66F7"/>
    <w:rsid w:val="00C02C95"/>
    <w:rsid w:val="00C4433E"/>
    <w:rsid w:val="00C56973"/>
    <w:rsid w:val="00CD2DC8"/>
    <w:rsid w:val="00CD5B02"/>
    <w:rsid w:val="00CD66E3"/>
    <w:rsid w:val="00CE39F0"/>
    <w:rsid w:val="00D1051F"/>
    <w:rsid w:val="00D3681F"/>
    <w:rsid w:val="00D43A59"/>
    <w:rsid w:val="00D60481"/>
    <w:rsid w:val="00D63258"/>
    <w:rsid w:val="00D63C0A"/>
    <w:rsid w:val="00D70F30"/>
    <w:rsid w:val="00D76601"/>
    <w:rsid w:val="00DA1763"/>
    <w:rsid w:val="00DA1DCA"/>
    <w:rsid w:val="00DA579C"/>
    <w:rsid w:val="00DA7B31"/>
    <w:rsid w:val="00DD38BE"/>
    <w:rsid w:val="00DD7F2E"/>
    <w:rsid w:val="00DF3064"/>
    <w:rsid w:val="00DF5EF0"/>
    <w:rsid w:val="00E16184"/>
    <w:rsid w:val="00EB18B8"/>
    <w:rsid w:val="00EB6A49"/>
    <w:rsid w:val="00EC0F60"/>
    <w:rsid w:val="00ED7D5B"/>
    <w:rsid w:val="00EE1ECB"/>
    <w:rsid w:val="00EE32B5"/>
    <w:rsid w:val="00F020D1"/>
    <w:rsid w:val="00F13CC5"/>
    <w:rsid w:val="00F14CBF"/>
    <w:rsid w:val="00F36CA8"/>
    <w:rsid w:val="00F4591D"/>
    <w:rsid w:val="00F619B8"/>
    <w:rsid w:val="00F76515"/>
    <w:rsid w:val="00FB2280"/>
    <w:rsid w:val="00FC63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7F9495C-6F87-4515-A8B8-482CC786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184"/>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63C0A"/>
    <w:pPr>
      <w:tabs>
        <w:tab w:val="center" w:pos="4536"/>
        <w:tab w:val="right" w:pos="9072"/>
      </w:tabs>
    </w:pPr>
  </w:style>
  <w:style w:type="paragraph" w:styleId="Bunntekst">
    <w:name w:val="footer"/>
    <w:basedOn w:val="Normal"/>
    <w:semiHidden/>
    <w:rsid w:val="00D63C0A"/>
    <w:pPr>
      <w:tabs>
        <w:tab w:val="center" w:pos="4536"/>
        <w:tab w:val="right" w:pos="9072"/>
      </w:tabs>
    </w:pPr>
  </w:style>
  <w:style w:type="character" w:styleId="Sidetall">
    <w:name w:val="page number"/>
    <w:basedOn w:val="Standardskriftforavsnitt"/>
    <w:semiHidden/>
    <w:rsid w:val="00D63C0A"/>
  </w:style>
  <w:style w:type="paragraph" w:customStyle="1" w:styleId="WSOVERSKRIFTArial11F">
    <w:name w:val="WS_OVERSKRIFT Arial 11 F"/>
    <w:basedOn w:val="Normal"/>
    <w:rsid w:val="00D63C0A"/>
    <w:pPr>
      <w:tabs>
        <w:tab w:val="left" w:pos="2835"/>
        <w:tab w:val="left" w:pos="4536"/>
        <w:tab w:val="left" w:pos="7938"/>
      </w:tabs>
    </w:pPr>
    <w:rPr>
      <w:b/>
      <w:caps/>
      <w:szCs w:val="22"/>
    </w:rPr>
  </w:style>
  <w:style w:type="paragraph" w:customStyle="1" w:styleId="WSOrgniv14F">
    <w:name w:val="WS_Orgnivå 14 F"/>
    <w:basedOn w:val="Normal"/>
    <w:rsid w:val="00D63C0A"/>
    <w:pPr>
      <w:tabs>
        <w:tab w:val="left" w:pos="426"/>
        <w:tab w:val="left" w:pos="4536"/>
      </w:tabs>
      <w:jc w:val="right"/>
    </w:pPr>
    <w:rPr>
      <w:sz w:val="28"/>
    </w:rPr>
  </w:style>
  <w:style w:type="paragraph" w:styleId="Bobletekst">
    <w:name w:val="Balloon Text"/>
    <w:basedOn w:val="Normal"/>
    <w:link w:val="BobletekstTegn"/>
    <w:uiPriority w:val="99"/>
    <w:semiHidden/>
    <w:unhideWhenUsed/>
    <w:rsid w:val="00F13CC5"/>
    <w:rPr>
      <w:rFonts w:ascii="Tahoma" w:hAnsi="Tahoma" w:cs="Tahoma"/>
      <w:sz w:val="16"/>
      <w:szCs w:val="16"/>
    </w:rPr>
  </w:style>
  <w:style w:type="character" w:customStyle="1" w:styleId="BobletekstTegn">
    <w:name w:val="Bobletekst Tegn"/>
    <w:basedOn w:val="Standardskriftforavsnitt"/>
    <w:link w:val="Bobletekst"/>
    <w:uiPriority w:val="99"/>
    <w:semiHidden/>
    <w:rsid w:val="00F13CC5"/>
    <w:rPr>
      <w:rFonts w:ascii="Tahoma" w:hAnsi="Tahoma" w:cs="Tahoma"/>
      <w:sz w:val="16"/>
      <w:szCs w:val="16"/>
    </w:rPr>
  </w:style>
  <w:style w:type="table" w:styleId="Tabellrutenett">
    <w:name w:val="Table Grid"/>
    <w:basedOn w:val="Vanligtabell"/>
    <w:uiPriority w:val="59"/>
    <w:rsid w:val="00D43A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D43A59"/>
    <w:rPr>
      <w:color w:val="808080"/>
    </w:rPr>
  </w:style>
  <w:style w:type="character" w:styleId="Utheving">
    <w:name w:val="Emphasis"/>
    <w:basedOn w:val="Standardskriftforavsnitt"/>
    <w:uiPriority w:val="20"/>
    <w:qFormat/>
    <w:rsid w:val="000947AD"/>
    <w:rPr>
      <w:i/>
      <w:iCs/>
    </w:rPr>
  </w:style>
  <w:style w:type="paragraph" w:customStyle="1" w:styleId="12k-arial11">
    <w:name w:val="12k-arial11"/>
    <w:basedOn w:val="Normal"/>
    <w:rsid w:val="00405329"/>
  </w:style>
  <w:style w:type="character" w:customStyle="1" w:styleId="TopptekstTegn">
    <w:name w:val="Topptekst Tegn"/>
    <w:basedOn w:val="Standardskriftforavsnitt"/>
    <w:link w:val="Topptekst"/>
    <w:uiPriority w:val="99"/>
    <w:rsid w:val="0076767F"/>
    <w:rPr>
      <w:rFonts w:ascii="Arial" w:hAnsi="Arial"/>
      <w:noProof/>
      <w:sz w:val="22"/>
    </w:rPr>
  </w:style>
  <w:style w:type="paragraph" w:customStyle="1" w:styleId="Forslagvedtak">
    <w:name w:val="Forslag_vedtak"/>
    <w:basedOn w:val="Normal"/>
    <w:rsid w:val="00F619B8"/>
    <w:pPr>
      <w:widowControl w:val="0"/>
      <w:tabs>
        <w:tab w:val="left" w:pos="1191"/>
        <w:tab w:val="left" w:pos="2495"/>
        <w:tab w:val="left" w:pos="3799"/>
        <w:tab w:val="left" w:pos="5103"/>
        <w:tab w:val="left" w:pos="6407"/>
        <w:tab w:val="left" w:pos="7711"/>
        <w:tab w:val="left" w:pos="9015"/>
        <w:tab w:val="left" w:pos="10319"/>
      </w:tabs>
      <w:ind w:left="2977" w:hanging="1701"/>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sdfid/>
        <sdm_watermark/>
      </doc>
    </docs>
    <websakInfo>
      <fletteDato>16.02.2017</fletteDato>
      <sakid>2016002838</sakid>
      <jpid>2017004344</jpid>
      <filUnique>1304005</filUnique>
      <erHoveddokument>True</erHoveddokument>
      <dcTitle>Allmenngjøring Riksavtalen</dcTitle>
    </websakInfo>
    <mergeMode>MergeOne</mergeMode>
    <showHiddenMark>False</showHiddenMark>
    <newDocName>newDoc</newDocName>
    <sdm_dummy/>
    <templateURI>C:\Users\103480 websak prod DokumentServer\AppData\Local\Temp\tmp_131317159766020001.docx</templateURI>
  </properties>
  <body>
    <Sbr_Tlf>958 62 038</Sbr_Tlf>
    <Sdo_DokDato>16.02.2017</Sdo_DokDato>
    <Sdo_DokNr>20</Sdo_DokNr>
    <Sbr_Navn>Frank Schistad</Sbr_Navn>
    <Sas_ArkivID>FF - 371</Sas_ArkivID>
    <Sas_ArkivsakID>16/2838</Sas_ArkivsakID>
  </body>
  <footer/>
  <header/>
</document>
</file>

<file path=customXml/itemProps1.xml><?xml version="1.0" encoding="utf-8"?>
<ds:datastoreItem xmlns:ds="http://schemas.openxmlformats.org/officeDocument/2006/customXml" ds:itemID="{84EE07F3-D7B9-4C41-BFE9-B76185C4F7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9302</Characters>
  <Application>Microsoft Office Word</Application>
  <DocSecurity>4</DocSecurity>
  <Lines>77</Lines>
  <Paragraphs>21</Paragraphs>
  <ScaleCrop>false</ScaleCrop>
  <HeadingPairs>
    <vt:vector size="2" baseType="variant">
      <vt:variant>
        <vt:lpstr>Tittel</vt:lpstr>
      </vt:variant>
      <vt:variant>
        <vt:i4>1</vt:i4>
      </vt:variant>
    </vt:vector>
  </HeadingPairs>
  <TitlesOfParts>
    <vt:vector size="1" baseType="lpstr">
      <vt:lpstr>Allmenngjøring Riksavtalen</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Allmenngjøring Riksavtalen</dc:title>
  <dc:subject/>
  <dc:creator>ACOS AS</dc:creator>
  <cp:keywords/>
  <cp:lastModifiedBy>Vidar Grønli</cp:lastModifiedBy>
  <cp:revision>2</cp:revision>
  <cp:lastPrinted>2010-01-19T11:29:00Z</cp:lastPrinted>
  <dcterms:created xsi:type="dcterms:W3CDTF">2017-02-28T09:37:00Z</dcterms:created>
  <dcterms:modified xsi:type="dcterms:W3CDTF">2017-02-28T09:37:00Z</dcterms:modified>
</cp:coreProperties>
</file>